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Microsoft JhengHei" w:hAnsi="Microsoft JhengHei" w:eastAsia="Microsoft JhengHei"/>
          <w:b/>
          <w:color w:val="183B63"/>
          <w:sz w:val="38"/>
        </w:rPr>
        <w:t>訓練結果評估、實施依據與標準作業流程</w:t>
      </w:r>
    </w:p>
    <w:p>
      <w:pPr>
        <w:spacing w:after="60"/>
      </w:pPr>
      <w:r>
        <w:rPr>
          <w:rFonts w:ascii="Microsoft JhengHei" w:hAnsi="Microsoft JhengHei" w:eastAsia="Microsoft JhengHei"/>
          <w:i/>
          <w:color w:val="566575"/>
          <w:sz w:val="17"/>
        </w:rPr>
        <w:t>填寫入口：先看本文件快速閱讀，再依後段「操作工具補充」完成專屬表單、判斷與追蹤。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245A81"/>
          <w:sz w:val="20"/>
        </w:rPr>
        <w:t>訓練辦理與評估 SOP（核定前草案）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  <w:tblHeader w:val="true"/>
        </w:trPr>
        <w:tc>
          <w:tcPr>
            <w:tcW w:type="dxa" w:w="10009"/>
            <w:vAlign w:val="center"/>
            <w:shd w:fill="FFF2CC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9"/>
              </w:rPr>
              <w:t>工作稿｜待實際資料或核定。本文件內容供協會整理與修訂；未經核定、未實際執行或未取得原始證明的事項，不得作為既成事實。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  <w:tblHeader w:val="true"/>
        </w:trPr>
        <w:tc>
          <w:tcPr>
            <w:tcW w:type="dxa" w:w="5004"/>
            <w:vAlign w:val="center"/>
            <w:shd w:fill="DCEAF5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這份文件要證明什麼</w:t>
            </w:r>
          </w:p>
        </w:tc>
        <w:tc>
          <w:tcPr>
            <w:tcW w:type="dxa" w:w="5004"/>
            <w:vAlign w:val="center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訓練結果的評估、訓練實施的依據及標準化作業流程（SOP）。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怎麼使用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 Plan、Design、Do、Review、Outcome 五段流程準備、執行、評估與改善。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評核委員先看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先看流程表、開課前檢核、評估紀錄及待核定欄。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已確認的真實資料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已確認：協會名稱；健康教育與傳統整復推拿技術為核心；並保留依實際市場需求發展多元課程的空間。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尚待補入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實際核定課程、課程日期、師資、學員、出勤、評量、回饋與成果資料。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一、目的與適用範圍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本程序規範協會規劃及辦理健康教育、傳統整復推拿技術或依需求發展之其他訓練時，如何確認依據、設計教學、實施、評估及改善。僅適用於經協會依權責核定的正式訓練；一般關懷活動或未設定學習目標的活動，不以訓練成果呈現。</w:t>
      </w:r>
    </w:p>
    <w:p>
      <w:pPr>
        <w:pStyle w:val="Heading1"/>
        <w:keepNext/>
        <w:keepLines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二、作業流程與責任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  <w:cantSplit/>
        </w:trPr>
        <w:tc>
          <w:tcPr>
            <w:tcW w:type="dxa" w:w="2502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階段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作業要求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輸出與紀錄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責任角色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Plan 計畫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確認需求、目標對象、學習目的、法規與資源；提出課程及成果指標。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需求分析、課程提案、資源與風險檢核。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承辦人／審查者／核定者：[待指派]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Design 設計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把能力目標轉成單元、方法、教材、師資、評量及結訓規則。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課程規劃書、教案、評量工具、審查與修訂。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課程設計者／專業審查者：[待指派]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Do 執行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開課前確認核定、師資、學員、場地、器材、安全與資料告知；按核定方案實施。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招生資訊、出勤、授課日誌、評量、異常及變更紀錄。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教務／講師／安全承辦：[待指派]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Review 查核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檢查課程是否依方案執行；分析回饋、學習評量、缺課、異常與申訴。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結訓檢核、課程檢討、差異及改善紀錄。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評估者／複核者：[待指派]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Outcome 成果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依目的追蹤所學是否應用及對學員、客戶或協會的貢獻。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追蹤資料、成果分析及下一輪改善決定。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追蹤承辦／核定者：[待指派]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三、開課前必備檢核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檢核問題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結果／證據位置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核定方案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課程名稱、目標、時數、招生資訊是否與現行核定版相同？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師資與教材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授課資格、教材版本、來源及授權是否完成確認？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場地與設備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場地、器材、衛生、安全及緊急聯絡安排是否可用？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學員與告知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錄取條件、出席方式、評量、資料使用及申訴方式是否已說明？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實作安全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非醫療界線、停止條件、現場監督及轉介方式是否明確？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資料與表單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簽到、評量、回饋及異常表單是否為現行版本？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四、訓練結果評估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評估面向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可採方法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填寫規則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學員反應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課後回饋、訪談或焦點討論。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列有效樣本、題目版本、意見分布與限制。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學習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課前後測、實作觀察、口頭說明或作品檢核。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評量須連到學習目標，保存規準及原始結果。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行為／應用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依核定追蹤時間，詢問是否在工作或服務中應用。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只有取得實際追蹤資料後填寫，註明未回覆與偏差。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成果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與課程目的相關的學員、客戶或協會成果。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分清訓練產出與長期結果，不將關聯直接說成因果。</w:t>
            </w:r>
          </w:p>
        </w:tc>
      </w:tr>
    </w:tbl>
    <w:p>
      <w:pPr>
        <w:spacing w:after="20"/>
      </w:pP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評估門檻與追蹤期間目前尚未核定；由協會依課程目標、適用規範與資源決定後，寫入課程核定版。未設定或未取得的數據不填估計值。</w:t>
      </w:r>
    </w:p>
    <w:p>
      <w:pPr>
        <w:pStyle w:val="Heading1"/>
        <w:keepNext/>
        <w:keepLines/>
        <w:pageBreakBefore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五、偏差、異常與改善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與核定方案不同時，記錄變更原因、影響、告知對象及核准方式。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涉及人身安全或超出非醫療範圍時，先停止相關活動並依核定應變程序處理。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評估未達預定目標時，分析原因及資料限制，提出責任人、期限、驗證方式與是否重開課程。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每次改善均保留原始資料與修訂版本，不倒填或補造紀錄。</w:t>
      </w:r>
    </w:p>
    <w:p>
      <w:pPr>
        <w:pStyle w:val="Heading1"/>
        <w:keepNext/>
        <w:keepLines/>
        <w:pageBreakBefore w:val="0"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六、必要紀錄清單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紀錄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產生時點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保存要點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需求分析與課程規劃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提案及核定前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保留來源、日期、版本與審查結果。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師資、教材、場地與安全檢核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開課前及異動時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資料限權存取，保留資格查驗與異動依據。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招生、學員、出勤及評量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辦理期間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僅記錄必要資訊，維持可追溯與資料保護。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回饋、結訓分析與追蹤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課後及核定追蹤期間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註明樣本數、缺失、計算方式與資料限制。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改善及再審查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發現差異或定期檢討時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連結問題、措施、責任、期限及驗證結果。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操作工具補充｜訓練實施與評估決策記錄</w:t>
      </w:r>
    </w:p>
    <w:p>
      <w:pPr>
        <w:keepLines/>
        <w:spacing w:before="40" w:after="80"/>
      </w:pPr>
      <w:r>
        <w:rPr>
          <w:rFonts w:ascii="Microsoft JhengHei" w:hAnsi="Microsoft JhengHei" w:eastAsia="Microsoft JhengHei"/>
          <w:b w:val="0"/>
          <w:i w:val="0"/>
          <w:sz w:val="18"/>
        </w:rPr>
        <w:t>本節把原有 Plan、Design、Do、Review、Outcome 五階段落到可判斷的檢核點。表內角色、門檻與時限須依權責核定後填入；沒有核定依據前，不得把待填值當成協會現行標準。</w:t>
      </w:r>
    </w:p>
    <w:p>
      <w:pPr>
        <w:pStyle w:val="Heading2"/>
        <w:keepNext/>
        <w:keepLines/>
      </w:pPr>
      <w:r>
        <w:t>1. 開始／停止決策點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cantSplit/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關卡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承辦人要核對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可往下進行的條件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未符合時怎麼辦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留下的紀錄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需求與適用範圍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訓練對象、需求來源、課程目的是否可查；是否屬協會健康教育、傳統整復推拿技術或經核定的多元課程。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需求來源可回查，目的與對象明確，且未超出非醫療教育界線。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退回補件；與任務無關或含未核實療效宣稱時停止提案並請權責人確認。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需求來源、適用判斷、退補原因與日期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課程設計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目標、單元、教法、教材、師資、評量是否互相對應。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每一目標均有教學安排與可核對的評量方法；必要資源及授權已查。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補設計或重新審查；不得先招生或把未核定內容列為正式課程。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課程規劃版本、審查意見及修訂差異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開課放行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核定方案、師資、學員告知、場地設備、安全、表單版本是否齊備。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適用檢核項目均已完成，未完成項有權責核可的處置且不影響安全或合法性。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安全、資格或必要核定未完成即不開課；其他缺件先列責任與期限並取得權責判斷。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開課前檢核表、決定人、日期及附件索引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執行變更／異常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實際進度是否偏離核定方案；是否出現事故、申訴或非醫療界線疑慮。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變更經權責確認且已告知受影響對象；異常處置有紀錄。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安全疑慮先停止相關活動；依核定應變程序通報、保護資料並評估是否復課。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變更／異常紀錄、影響、處置、復查及核准依據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結訓與改善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出勤、評量、回饋、追蹤和原始資料是否完整可回查。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結果依事前口徑分析，限制、缺值、未回覆均揭露，改善有責任與驗證方式。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資料不足則列為尚無法判定，不補造結果；安排補件或下一次驗證。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結訓分析、改善追蹤及版本索引</w:t>
            </w:r>
          </w:p>
        </w:tc>
      </w:tr>
    </w:tbl>
    <w:p>
      <w:pPr>
        <w:pStyle w:val="Heading2"/>
        <w:keepNext/>
        <w:keepLines/>
      </w:pPr>
      <w:r>
        <w:t>2. 偏差、例外與停辦紀錄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cantSplit/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案件／日期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偏差或例外事實與原方案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安全／品質／權益影響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暫行措施與決策依據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責任／期限／復查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[列出差異，不覆寫原方案]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[待分析；涉及安全先停]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[待填權責人、依據與是否復課]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</w:tbl>
    <w:p>
      <w:pPr>
        <w:pStyle w:val="Heading2"/>
        <w:keepNext/>
        <w:keepLines/>
      </w:pPr>
      <w:r>
        <w:t>3. 可重算的過程指標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cantSplit/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指標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計算方式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適用範圍／零分母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結果欄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核定目標／資料位置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開課前檢核完成率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完成且有證據的適用項目數 ÷ 全部適用項目數 × 100%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排除有理由的不適用項；分母為0時填不適用並說明。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[待計算]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目標待核定；附檢核表版本／位置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變更追蹤完成率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已完成並覆核的到期變更／改善事項數 ÷ 到期事項總數 × 100%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尚未到期者不列入；分母為0時填不適用。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[待計算]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目標待核定；附追蹤清單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有效回覆率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有效回覆數 ÷ 到期且適格的受邀對象數 × 100%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拒答、失聯及無效回覆分開列；分母為0時填不適用。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[待計算]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期間與題目版本待填；附原始彙整表</w:t>
            </w:r>
          </w:p>
        </w:tc>
      </w:tr>
    </w:tbl>
    <w:p>
      <w:pPr>
        <w:pStyle w:val="Heading2"/>
        <w:keepNext/>
        <w:keepLines/>
        <w:spacing w:before="100" w:after="60"/>
      </w:pPr>
      <w:r>
        <w:rPr>
          <w:rFonts w:ascii="Microsoft JhengHei" w:hAnsi="Microsoft JhengHei" w:eastAsia="Microsoft JhengHei"/>
          <w:b/>
          <w:color w:val="245A81"/>
          <w:sz w:val="23"/>
        </w:rPr>
        <w:t>依據與使用界線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對應查核項目：訓練結果的評估、訓練實施的依據及標準化作業流程（SOP）。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來源：TTQS人才發展品質管理系統「查核佐證文件資料表－訓練機構版」，第2頁。本工作稿不是核定文件，也不是實際辦訓、學員、職務、調查、成效、第三方證明或財務成果。</w:t>
      </w:r>
    </w:p>
    <w:p>
      <w:pPr>
        <w:pStyle w:val="Heading1"/>
        <w:keepNext/>
        <w:keepLines/>
      </w:pPr>
      <w:r>
        <w:t>角色責任矩陣（RACI；待核定）</w:t>
      </w:r>
    </w:p>
    <w:p>
      <w:pPr>
        <w:keepLines/>
        <w:spacing w:after="100"/>
      </w:pPr>
      <w:r>
        <w:t>下列是職能分工提案，不代表目前已指派人員或核定權責。正式使用前由協會依實際組織確認每一作業至少有一個負責（R）及一個最終負責（A），並填核定版本。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作業</w:t>
            </w:r>
          </w:p>
        </w:tc>
        <w:tc>
          <w:tcPr>
            <w:tcW w:type="dxa" w:w="20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課程承辦</w:t>
            </w:r>
          </w:p>
        </w:tc>
        <w:tc>
          <w:tcPr>
            <w:tcW w:type="dxa" w:w="20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課程／教學負責角色</w:t>
            </w:r>
          </w:p>
        </w:tc>
        <w:tc>
          <w:tcPr>
            <w:tcW w:type="dxa" w:w="20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評估／覆核角色</w:t>
            </w:r>
          </w:p>
        </w:tc>
        <w:tc>
          <w:tcPr>
            <w:tcW w:type="dxa" w:w="20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權責核定者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需求與課程提案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R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C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C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A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課程設計與評量規劃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C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R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C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A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開課前安全與資料檢核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R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C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C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A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課程實施與異常通報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C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R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C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A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結果分析與資料限制判讀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R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C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R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A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改善措施與效果複查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R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C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R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A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RACI代碼</w:t>
            </w:r>
          </w:p>
        </w:tc>
        <w:tc>
          <w:tcPr>
            <w:tcW w:type="dxa" w:w="3336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本稿定義</w:t>
            </w:r>
          </w:p>
        </w:tc>
        <w:tc>
          <w:tcPr>
            <w:tcW w:type="dxa" w:w="3336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核定／備註</w:t>
            </w:r>
          </w:p>
        </w:tc>
      </w:tr>
      <w:tr>
        <w:trPr>
          <w:cantSplit/>
          <w:cantSplit/>
          <w:cantSplit/>
        </w:trPr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R 負責執行</w:t>
            </w:r>
          </w:p>
        </w:tc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實際完成該項作業並形成紀錄的角色。</w:t>
            </w:r>
          </w:p>
        </w:tc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[待指派；同一任務可多位R]</w:t>
            </w:r>
          </w:p>
        </w:tc>
      </w:tr>
      <w:tr>
        <w:trPr>
          <w:cantSplit/>
          <w:cantSplit/>
          <w:cantSplit/>
        </w:trPr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A 最終負責</w:t>
            </w:r>
          </w:p>
        </w:tc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對作業完成及決定負最終責任的權責角色。</w:t>
            </w:r>
          </w:p>
        </w:tc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[待核定；每列一位A]</w:t>
            </w:r>
          </w:p>
        </w:tc>
      </w:tr>
      <w:tr>
        <w:trPr>
          <w:cantSplit/>
          <w:cantSplit/>
          <w:cantSplit/>
        </w:trPr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C 諮詢</w:t>
            </w:r>
          </w:p>
        </w:tc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在決定前提供必要專業或使用意見。</w:t>
            </w:r>
          </w:p>
        </w:tc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[依實際流程核定]</w:t>
            </w:r>
          </w:p>
        </w:tc>
      </w:tr>
      <w:tr>
        <w:trPr>
          <w:cantSplit/>
          <w:cantSplit/>
          <w:cantSplit/>
        </w:trPr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I 知會</w:t>
            </w:r>
          </w:p>
        </w:tc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需要接收結果或變更資訊的角色。</w:t>
            </w:r>
          </w:p>
        </w:tc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[依實際流程核定]</w:t>
            </w:r>
          </w:p>
        </w:tc>
      </w:tr>
    </w:tbl>
    <w:p>
      <w:pPr>
        <w:pStyle w:val="Heading2"/>
        <w:keepNext/>
        <w:keepLines/>
      </w:pPr>
      <w:r>
        <w:t>流程時效與異常結案指標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指標</w:t>
            </w:r>
          </w:p>
        </w:tc>
        <w:tc>
          <w:tcPr>
            <w:tcW w:type="dxa" w:w="3336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定義與公式</w:t>
            </w:r>
          </w:p>
        </w:tc>
        <w:tc>
          <w:tcPr>
            <w:tcW w:type="dxa" w:w="3336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結果欄／資料來源／覆核</w:t>
            </w:r>
          </w:p>
        </w:tc>
      </w:tr>
      <w:tr>
        <w:trPr>
          <w:cantSplit/>
          <w:cantSplit/>
          <w:cantSplit/>
        </w:trPr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流程準時率</w:t>
            </w:r>
          </w:p>
        </w:tc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期限內完成且有證據的到期流程件數 ÷ 本期到期流程件數 × 100%；分母0列不適用。</w:t>
            </w:r>
          </w:p>
        </w:tc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[待計算；列期間、母數、步驟及來源]</w:t>
            </w:r>
          </w:p>
        </w:tc>
      </w:tr>
      <w:tr>
        <w:trPr>
          <w:cantSplit/>
          <w:cantSplit/>
          <w:cantSplit/>
        </w:trPr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異常結案率</w:t>
            </w:r>
          </w:p>
        </w:tc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已完成處置且經驗證結案的異常件數 ÷ 本期應處理異常總件數 × 100%；無異常時列不適用，不以100%呈現。</w:t>
            </w:r>
          </w:p>
        </w:tc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[待計算；列異常ID、驗證與覆核位置]</w:t>
            </w:r>
          </w:p>
        </w:tc>
      </w:tr>
    </w:tbl>
    <w:p>
      <w:pPr>
        <w:keepLines/>
        <w:spacing w:after="100"/>
      </w:pPr>
      <w:r>
        <w:t>KPI目標、統計期間與權責角色尚待協會核定；本表未填實績或承諾值。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未核定前不作為實際執行紀錄｜第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JhengHei" w:hAnsi="Microsoft JhengHei"/>
      <w:color w:val="2436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訓練結果評估、實施依據與標準作業流程</dc:title>
  <dc:subject>訓練結果的評估、訓練實施的依據及標準化作業流程（SOP）。</dc:subject>
  <dc:creator>社團法人屏東縣原始點關懷協會</dc:creator>
  <cp:keywords>TTQS; 工作稿; 待核定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