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學員培訓前後自我評量與雷達圖資料表</w:t>
      </w:r>
    </w:p>
    <w:p>
      <w:pPr>
        <w:spacing w:after="60"/>
      </w:pPr>
      <w:r>
        <w:rPr>
          <w:rFonts w:ascii="Microsoft JhengHei" w:hAnsi="Microsoft JhengHei" w:eastAsia="Microsoft JhengHei"/>
          <w:i/>
          <w:color w:val="566575"/>
          <w:sz w:val="17"/>
        </w:rPr>
        <w:t>填寫入口：先看本文件快速閱讀，再依後段「操作工具補充」完成專屬表單、判斷與追蹤。</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keepLines/>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以相同能力項目及量尺記錄自評前後差異，形成可重算的雷達圖輸入資料。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先由實際課程計畫確認能力項目；配對前後資料後再計算，空白模板不含任何成果數值。</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先看能力項目版本與量尺，再看配對評分、有效樣本及圖表輸入表。</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目前沒有本批學員或前後評量資料。本表不代表能力進步，亦不以自評圖取代正式測驗或實作評分。</w:t>
            </w:r>
          </w:p>
        </w:tc>
      </w:tr>
    </w:tbl>
    <w:p>
      <w:pPr>
        <w:spacing w:after="0" w:before="0" w:line="20" w:lineRule="exact"/>
      </w:pPr>
    </w:p>
    <w:p>
      <w:pPr>
        <w:keepLines/>
      </w:pPr>
      <w:r>
        <w:rPr>
          <w:rFonts w:ascii="Microsoft JhengHei" w:hAnsi="Microsoft JhengHei" w:eastAsia="Microsoft JhengHei"/>
          <w:b w:val="0"/>
          <w:color w:val="24364B"/>
          <w:sz w:val="22"/>
        </w:rPr>
        <w:t>對應查核項目：學員培訓前後自我評量表及雷達分析圖呈現提升效果。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本件待補：經核定的能力指標、學員同意、訓前訓後配對回覆、缺值與分母紀錄及客觀評量。</w:t>
      </w:r>
    </w:p>
    <w:p>
      <w:pPr>
        <w:pStyle w:val="Heading1"/>
        <w:keepNext/>
        <w:keepLines/>
      </w:pPr>
      <w:r>
        <w:rPr>
          <w:rFonts w:ascii="Microsoft JhengHei" w:hAnsi="Microsoft JhengHei" w:eastAsia="Microsoft JhengHei"/>
          <w:b/>
          <w:color w:val="183B63"/>
          <w:sz w:val="30"/>
        </w:rPr>
        <w:t>一、課程與量尺設定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7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欄位</w:t>
            </w:r>
          </w:p>
        </w:tc>
        <w:tc>
          <w:tcPr>
            <w:tcW w:type="dxa" w:w="763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填寫</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課程／班次代碼</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[待補；依實際課程資料]</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能力項目來源</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[待補：課程計畫／職能標準及版次]</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項目版本</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訓前與訓後須使用相同題目、順序及判準；修訂時另開版次。</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施測時點</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訓前：[實際日期／時點]；訓後：[實際日期／時點]。</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量尺</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1＝尚未具備；2＝需大量協助；3＝可在協助下完成；4＝多數情境可獨立完成；5＝可穩定完成並說明；NA＝不適用。</w:t>
            </w:r>
          </w:p>
        </w:tc>
      </w:tr>
    </w:tbl>
    <w:p>
      <w:pPr>
        <w:spacing w:after="0" w:before="0" w:line="20" w:lineRule="exact"/>
      </w:pPr>
    </w:p>
    <w:p>
      <w:pPr>
        <w:pStyle w:val="Heading1"/>
        <w:keepNext/>
        <w:keepLines/>
      </w:pPr>
      <w:r>
        <w:rPr>
          <w:rFonts w:ascii="Microsoft JhengHei" w:hAnsi="Microsoft JhengHei" w:eastAsia="Microsoft JhengHei"/>
          <w:b/>
          <w:color w:val="183B63"/>
          <w:sz w:val="30"/>
        </w:rPr>
        <w:t>二、能力項目（依實際核定課程確認後使用）</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0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能力面向</w:t>
            </w:r>
          </w:p>
        </w:tc>
        <w:tc>
          <w:tcPr>
            <w:tcW w:type="dxa" w:w="352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課程對應項目／判準</w:t>
            </w:r>
          </w:p>
        </w:tc>
        <w:tc>
          <w:tcPr>
            <w:tcW w:type="dxa" w:w="122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訓前1–5／NA</w:t>
            </w:r>
          </w:p>
        </w:tc>
        <w:tc>
          <w:tcPr>
            <w:tcW w:type="dxa" w:w="122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訓後1–5／NA</w:t>
            </w:r>
          </w:p>
        </w:tc>
        <w:tc>
          <w:tcPr>
            <w:tcW w:type="dxa" w:w="100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配對差值</w:t>
            </w:r>
          </w:p>
        </w:tc>
        <w:tc>
          <w:tcPr>
            <w:tcW w:type="dxa" w:w="122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客觀佐證位置</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健康教育與資訊辨識</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[由課程計畫填入；不適用可註明]</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非醫療界線及轉介原則</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安全、衛生與風險辨識</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溝通、尊重與知情同意</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核心技術或課程專業能力</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[依核定課程內容填寫，不預設未核定技術]</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紀錄、隱私與自我改善</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keepLines/>
      </w:pPr>
      <w:r>
        <w:rPr>
          <w:rFonts w:ascii="Microsoft JhengHei" w:hAnsi="Microsoft JhengHei" w:eastAsia="Microsoft JhengHei"/>
          <w:b/>
          <w:color w:val="183B63"/>
          <w:sz w:val="30"/>
        </w:rPr>
        <w:t>三、個人配對紀錄與缺值</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51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匿名代碼</w:t>
            </w:r>
          </w:p>
        </w:tc>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能力項目版本</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有效前測題數</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有效後測題數</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是否可配對</w:t>
            </w:r>
          </w:p>
        </w:tc>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排除／缺值原因</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□是 □否</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□是 □否</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keepLines/>
      </w:pPr>
      <w:r>
        <w:rPr>
          <w:rFonts w:ascii="Microsoft JhengHei" w:hAnsi="Microsoft JhengHei" w:eastAsia="Microsoft JhengHei"/>
          <w:b/>
          <w:color w:val="183B63"/>
          <w:sz w:val="30"/>
        </w:rPr>
        <w:t>四、雷達圖數據彙整與繪製</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7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能力軸</w:t>
            </w:r>
          </w:p>
        </w:tc>
        <w:tc>
          <w:tcPr>
            <w:tcW w:type="dxa" w:w="129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有效配對 N</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訓前平均</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訓後平均</w:t>
            </w:r>
          </w:p>
        </w:tc>
        <w:tc>
          <w:tcPr>
            <w:tcW w:type="dxa" w:w="115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差值</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圖表檢核</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[能力項目1]</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[能力項目2]</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[能力項目3]</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[能力項目4]</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[能力項目5]</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[能力項目6]</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bl>
    <w:p>
      <w:pPr>
        <w:spacing w:after="0" w:before="0" w:line="20" w:lineRule="exact"/>
      </w:pPr>
    </w:p>
    <w:p>
      <w:pPr>
        <w:keepLines/>
      </w:pPr>
      <w:r>
        <w:rPr>
          <w:rFonts w:ascii="Microsoft JhengHei" w:hAnsi="Microsoft JhengHei" w:eastAsia="Microsoft JhengHei"/>
          <w:b w:val="0"/>
          <w:color w:val="24364B"/>
          <w:sz w:val="22"/>
        </w:rPr>
        <w:t>繪圖規則：僅用具有效配對的同一批匿名資料；列出每軸有效N及缺值；雷達圖刻度固定1–5，訓前與訓後用不同圖例。若沒有有效配對資料，保留本表與空白圖表位置，不繪製模擬成果。自評差異只代表自我感受，應與正式評量、作品或觀察資料併列。</w:t>
      </w:r>
    </w:p>
    <w:p>
      <w:pPr>
        <w:pStyle w:val="Heading1"/>
        <w:keepNext/>
        <w:keepLines/>
      </w:pPr>
      <w:r>
        <w:rPr>
          <w:rFonts w:ascii="Microsoft JhengHei" w:hAnsi="Microsoft JhengHei" w:eastAsia="Microsoft JhengHei"/>
          <w:b/>
          <w:color w:val="183B63"/>
          <w:sz w:val="30"/>
        </w:rPr>
        <w:t>五、圖表放置與判讀</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圖表／判讀項目</w:t>
            </w:r>
          </w:p>
        </w:tc>
        <w:tc>
          <w:tcPr>
            <w:tcW w:type="dxa" w:w="777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填寫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雷達圖</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[待取得真實配對資料後插入；註明N、能力版本、施測時點及1–5刻度]</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平均差計算</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各能力軸：有效配對者訓後分數平均－訓前分數平均；列明計算N。</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資料限制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[待補；例如非配對、缺值、樣本選擇或自評偏差]</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結論與後續</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[待補；不得只憑自評推論實際能力或工作績效]</w:t>
            </w:r>
          </w:p>
        </w:tc>
      </w:tr>
    </w:tbl>
    <w:p>
      <w:pPr>
        <w:spacing w:after="0" w:before="0" w:line="20" w:lineRule="exact"/>
      </w:pPr>
    </w:p>
    <w:p>
      <w:pPr>
        <w:pStyle w:val="Heading2"/>
        <w:keepNext/>
        <w:keepLines/>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核定能力指標與同版問卷</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待建立／待核定</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訓前訓後原始回覆</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[待補；去識別保存]</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客觀評量／雷達圖輸出</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取得資料後建立</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keepLines/>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pStyle w:val="Heading1"/>
        <w:keepNext/>
        <w:keepLines/>
      </w:pPr>
      <w:r>
        <w:t>操作工具補充｜雷達圖空白版與配對檢核</w:t>
      </w:r>
    </w:p>
    <w:p>
      <w:pPr>
        <w:keepLines/>
        <w:spacing w:before="40" w:after="80"/>
      </w:pPr>
      <w:r>
        <w:rPr>
          <w:rFonts w:ascii="Microsoft JhengHei" w:hAnsi="Microsoft JhengHei" w:eastAsia="Microsoft JhengHei"/>
          <w:b w:val="0"/>
          <w:i w:val="0"/>
          <w:sz w:val="18"/>
        </w:rPr>
        <w:t>圖中沒有任何分數或成果線，僅提供六軸空白位置。正式項目名稱以核定課程能力指標替換；數據只可由同一批、同版本、有效配對的真實回覆計算。</w:t>
      </w:r>
    </w:p>
    <w:p>
      <w:pPr>
        <w:pStyle w:val="Heading2"/>
        <w:keepNext/>
        <w:keepLines/>
      </w:pPr>
      <w:r>
        <w:t>1. 可列印的空白雷達圖版面</w:t>
      </w:r>
    </w:p>
    <w:p>
      <w:pPr>
        <w:keepLines/>
        <w:spacing w:before="40" w:after="80"/>
      </w:pPr>
      <w:r>
        <w:rPr>
          <w:rFonts w:ascii="Microsoft JhengHei" w:hAnsi="Microsoft JhengHei" w:eastAsia="Microsoft JhengHei"/>
          <w:b w:val="0"/>
          <w:i w:val="0"/>
          <w:sz w:val="18"/>
        </w:rPr>
        <w:t>此圖是空白圖表底稿；右側數值區及下表需由承辦人使用實際配對資料填寫後另產生有數據的正式圖。沒有有效配對樣本時保留空白圖，不連線、不標示提升。</w:t>
      </w:r>
    </w:p>
    <w:p>
      <w:pPr>
        <w:jc w:val="center"/>
      </w:pPr>
      <w:r>
        <w:drawing>
          <wp:inline xmlns:a="http://schemas.openxmlformats.org/drawingml/2006/main" xmlns:pic="http://schemas.openxmlformats.org/drawingml/2006/picture">
            <wp:extent cx="5212080" cy="3094672"/>
            <wp:docPr id="1" name="Picture 1"/>
            <wp:cNvGraphicFramePr>
              <a:graphicFrameLocks noChangeAspect="1"/>
            </wp:cNvGraphicFramePr>
            <a:graphic>
              <a:graphicData uri="http://schemas.openxmlformats.org/drawingml/2006/picture">
                <pic:pic>
                  <pic:nvPicPr>
                    <pic:cNvPr id="0" name="0100_blank_radar_scaffold.png"/>
                    <pic:cNvPicPr/>
                  </pic:nvPicPr>
                  <pic:blipFill>
                    <a:blip r:embed="rId11"/>
                    <a:stretch>
                      <a:fillRect/>
                    </a:stretch>
                  </pic:blipFill>
                  <pic:spPr>
                    <a:xfrm>
                      <a:off x="0" y="0"/>
                      <a:ext cx="5212080" cy="3094672"/>
                    </a:xfrm>
                    <a:prstGeom prst="rect"/>
                  </pic:spPr>
                </pic:pic>
              </a:graphicData>
            </a:graphic>
          </wp:inline>
        </w:drawing>
      </w:r>
    </w:p>
    <w:p>
      <w:pPr>
        <w:pStyle w:val="Heading2"/>
        <w:keepNext/>
        <w:keepLines/>
      </w:pPr>
      <w:r>
        <w:t>2. 圖軸、分母與資料品質檢查</w:t>
      </w:r>
    </w:p>
    <w:tbl>
      <w:tblPr>
        <w:tblStyle w:val="TableGrid"/>
        <w:tblW w:type="auto" w:w="0"/>
        <w:tblLayout w:type="autofit"/>
        <w:tblLook w:firstColumn="1" w:firstRow="1" w:lastColumn="0" w:lastRow="0" w:noHBand="0" w:noVBand="1" w:val="04A0"/>
      </w:tblPr>
      <w:tblGrid>
        <w:gridCol w:w="3335"/>
        <w:gridCol w:w="3335"/>
        <w:gridCol w:w="3335"/>
      </w:tblGrid>
      <w:tr>
        <w:trPr>
          <w:cantSplit/>
          <w:tblHeader w:val="true"/>
        </w:trPr>
        <w:tc>
          <w:tcPr>
            <w:tcW w:type="dxa" w:w="3335"/>
            <w:vAlign w:val="center"/>
            <w:shd w:fill="1F4E78"/>
          </w:tcPr>
          <w:p>
            <w:pPr>
              <w:keepNext/>
              <w:keepLines/>
              <w:spacing w:before="0" w:after="40" w:line="240" w:lineRule="auto"/>
            </w:pPr>
            <w:r>
              <w:rPr>
                <w:rFonts w:ascii="Microsoft JhengHei" w:hAnsi="Microsoft JhengHei" w:eastAsia="Microsoft JhengHei"/>
                <w:b/>
                <w:color w:val="FFFFFF"/>
                <w:sz w:val="17"/>
              </w:rPr>
              <w:t>檢核項</w:t>
            </w:r>
          </w:p>
        </w:tc>
        <w:tc>
          <w:tcPr>
            <w:tcW w:type="dxa" w:w="3335"/>
            <w:vAlign w:val="center"/>
            <w:shd w:fill="1F4E78"/>
          </w:tcPr>
          <w:p>
            <w:pPr>
              <w:keepNext/>
              <w:keepLines/>
              <w:spacing w:before="0" w:after="40" w:line="240" w:lineRule="auto"/>
            </w:pPr>
            <w:r>
              <w:rPr>
                <w:rFonts w:ascii="Microsoft JhengHei" w:hAnsi="Microsoft JhengHei" w:eastAsia="Microsoft JhengHei"/>
                <w:b/>
                <w:color w:val="FFFFFF"/>
                <w:sz w:val="17"/>
              </w:rPr>
              <w:t>正式填寫規則</w:t>
            </w:r>
          </w:p>
        </w:tc>
        <w:tc>
          <w:tcPr>
            <w:tcW w:type="dxa" w:w="3335"/>
            <w:vAlign w:val="center"/>
            <w:shd w:fill="1F4E78"/>
          </w:tcPr>
          <w:p>
            <w:pPr>
              <w:keepNext/>
              <w:keepLines/>
              <w:spacing w:before="0" w:after="40" w:line="240" w:lineRule="auto"/>
            </w:pPr>
            <w:r>
              <w:rPr>
                <w:rFonts w:ascii="Microsoft JhengHei" w:hAnsi="Microsoft JhengHei" w:eastAsia="Microsoft JhengHei"/>
                <w:b/>
                <w:color w:val="FFFFFF"/>
                <w:sz w:val="17"/>
              </w:rPr>
              <w:t>核對／證據</w:t>
            </w:r>
          </w:p>
        </w:tc>
      </w:tr>
      <w:tr>
        <w:trPr>
          <w:cantSplit/>
        </w:trPr>
        <w:tc>
          <w:tcPr>
            <w:tcW w:type="dxa" w:w="3335"/>
            <w:vAlign w:val="center"/>
          </w:tcPr>
          <w:p>
            <w:pPr>
              <w:spacing w:before="0" w:after="40" w:line="240" w:lineRule="auto"/>
            </w:pPr>
            <w:r>
              <w:rPr>
                <w:rFonts w:ascii="Microsoft JhengHei" w:hAnsi="Microsoft JhengHei" w:eastAsia="Microsoft JhengHei"/>
                <w:sz w:val="17"/>
              </w:rPr>
              <w:t>能力軸標籤</w:t>
            </w:r>
          </w:p>
        </w:tc>
        <w:tc>
          <w:tcPr>
            <w:tcW w:type="dxa" w:w="3335"/>
            <w:vAlign w:val="center"/>
          </w:tcPr>
          <w:p>
            <w:pPr>
              <w:spacing w:before="0" w:after="40" w:line="240" w:lineRule="auto"/>
            </w:pPr>
            <w:r>
              <w:rPr>
                <w:rFonts w:ascii="Microsoft JhengHei" w:hAnsi="Microsoft JhengHei" w:eastAsia="Microsoft JhengHei"/>
                <w:sz w:val="17"/>
              </w:rPr>
              <w:t>以核定課程的能力項目及版次取代「能力項目1–6」；軸數不足或超出時同步更新問卷與計算表。</w:t>
            </w:r>
          </w:p>
        </w:tc>
        <w:tc>
          <w:tcPr>
            <w:tcW w:type="dxa" w:w="3335"/>
            <w:vAlign w:val="center"/>
          </w:tcPr>
          <w:p>
            <w:pPr>
              <w:spacing w:before="0" w:after="40" w:line="240" w:lineRule="auto"/>
            </w:pPr>
            <w:r>
              <w:rPr>
                <w:rFonts w:ascii="Microsoft JhengHei" w:hAnsi="Microsoft JhengHei" w:eastAsia="Microsoft JhengHei"/>
                <w:sz w:val="17"/>
              </w:rPr>
              <w:t>[課程核定文件／版次待補]</w:t>
            </w:r>
          </w:p>
        </w:tc>
      </w:tr>
      <w:tr>
        <w:trPr>
          <w:cantSplit/>
        </w:trPr>
        <w:tc>
          <w:tcPr>
            <w:tcW w:type="dxa" w:w="3335"/>
            <w:vAlign w:val="center"/>
            <w:shd w:fill="F2F6FA"/>
          </w:tcPr>
          <w:p>
            <w:pPr>
              <w:spacing w:before="0" w:after="40" w:line="240" w:lineRule="auto"/>
            </w:pPr>
            <w:r>
              <w:rPr>
                <w:rFonts w:ascii="Microsoft JhengHei" w:hAnsi="Microsoft JhengHei" w:eastAsia="Microsoft JhengHei"/>
                <w:sz w:val="17"/>
              </w:rPr>
              <w:t>量尺與配對</w:t>
            </w:r>
          </w:p>
        </w:tc>
        <w:tc>
          <w:tcPr>
            <w:tcW w:type="dxa" w:w="3335"/>
            <w:vAlign w:val="center"/>
            <w:shd w:fill="F2F6FA"/>
          </w:tcPr>
          <w:p>
            <w:pPr>
              <w:spacing w:before="0" w:after="40" w:line="240" w:lineRule="auto"/>
            </w:pPr>
            <w:r>
              <w:rPr>
                <w:rFonts w:ascii="Microsoft JhengHei" w:hAnsi="Microsoft JhengHei" w:eastAsia="Microsoft JhengHei"/>
                <w:sz w:val="17"/>
              </w:rPr>
              <w:t>訓前訓後題目、順序、量尺一致；以去識別代碼配對，僅比較有效配對。</w:t>
            </w:r>
          </w:p>
        </w:tc>
        <w:tc>
          <w:tcPr>
            <w:tcW w:type="dxa" w:w="3335"/>
            <w:vAlign w:val="center"/>
            <w:shd w:fill="F2F6FA"/>
          </w:tcPr>
          <w:p>
            <w:pPr>
              <w:spacing w:before="0" w:after="40" w:line="240" w:lineRule="auto"/>
            </w:pPr>
            <w:r>
              <w:rPr>
                <w:rFonts w:ascii="Microsoft JhengHei" w:hAnsi="Microsoft JhengHei" w:eastAsia="Microsoft JhengHei"/>
                <w:sz w:val="17"/>
              </w:rPr>
              <w:t>[問卷版次、配對清單待補]</w:t>
            </w:r>
          </w:p>
        </w:tc>
      </w:tr>
      <w:tr>
        <w:trPr>
          <w:cantSplit/>
        </w:trPr>
        <w:tc>
          <w:tcPr>
            <w:tcW w:type="dxa" w:w="3335"/>
            <w:vAlign w:val="center"/>
          </w:tcPr>
          <w:p>
            <w:pPr>
              <w:spacing w:before="0" w:after="40" w:line="240" w:lineRule="auto"/>
            </w:pPr>
            <w:r>
              <w:rPr>
                <w:rFonts w:ascii="Microsoft JhengHei" w:hAnsi="Microsoft JhengHei" w:eastAsia="Microsoft JhengHei"/>
                <w:sz w:val="17"/>
              </w:rPr>
              <w:t>平均值</w:t>
            </w:r>
          </w:p>
        </w:tc>
        <w:tc>
          <w:tcPr>
            <w:tcW w:type="dxa" w:w="3335"/>
            <w:vAlign w:val="center"/>
          </w:tcPr>
          <w:p>
            <w:pPr>
              <w:spacing w:before="0" w:after="40" w:line="240" w:lineRule="auto"/>
            </w:pPr>
            <w:r>
              <w:rPr>
                <w:rFonts w:ascii="Microsoft JhengHei" w:hAnsi="Microsoft JhengHei" w:eastAsia="Microsoft JhengHei"/>
                <w:sz w:val="17"/>
              </w:rPr>
              <w:t>各能力軸訓前／訓後平均＝該軸有效分數總和 ÷ 該軸有效回答數；列出N。差值＝訓後平均－訓前平均。</w:t>
            </w:r>
          </w:p>
        </w:tc>
        <w:tc>
          <w:tcPr>
            <w:tcW w:type="dxa" w:w="3335"/>
            <w:vAlign w:val="center"/>
          </w:tcPr>
          <w:p>
            <w:pPr>
              <w:spacing w:before="0" w:after="40" w:line="240" w:lineRule="auto"/>
            </w:pPr>
            <w:r>
              <w:rPr>
                <w:rFonts w:ascii="Microsoft JhengHei" w:hAnsi="Microsoft JhengHei" w:eastAsia="Microsoft JhengHei"/>
                <w:sz w:val="17"/>
              </w:rPr>
              <w:t>[原始資料位置／計算表／覆核]</w:t>
            </w:r>
          </w:p>
        </w:tc>
      </w:tr>
      <w:tr>
        <w:trPr>
          <w:cantSplit/>
        </w:trPr>
        <w:tc>
          <w:tcPr>
            <w:tcW w:type="dxa" w:w="3335"/>
            <w:vAlign w:val="center"/>
            <w:shd w:fill="F2F6FA"/>
          </w:tcPr>
          <w:p>
            <w:pPr>
              <w:spacing w:before="0" w:after="40" w:line="240" w:lineRule="auto"/>
            </w:pPr>
            <w:r>
              <w:rPr>
                <w:rFonts w:ascii="Microsoft JhengHei" w:hAnsi="Microsoft JhengHei" w:eastAsia="Microsoft JhengHei"/>
                <w:sz w:val="17"/>
              </w:rPr>
              <w:t>缺值與不適用</w:t>
            </w:r>
          </w:p>
        </w:tc>
        <w:tc>
          <w:tcPr>
            <w:tcW w:type="dxa" w:w="3335"/>
            <w:vAlign w:val="center"/>
            <w:shd w:fill="F2F6FA"/>
          </w:tcPr>
          <w:p>
            <w:pPr>
              <w:spacing w:before="0" w:after="40" w:line="240" w:lineRule="auto"/>
            </w:pPr>
            <w:r>
              <w:rPr>
                <w:rFonts w:ascii="Microsoft JhengHei" w:hAnsi="Microsoft JhengHei" w:eastAsia="Microsoft JhengHei"/>
                <w:sz w:val="17"/>
              </w:rPr>
              <w:t>NA不計分；缺值原因分列。該軸有效N為0時不繪製數值並註明無法計算。</w:t>
            </w:r>
          </w:p>
        </w:tc>
        <w:tc>
          <w:tcPr>
            <w:tcW w:type="dxa" w:w="3335"/>
            <w:vAlign w:val="center"/>
            <w:shd w:fill="F2F6FA"/>
          </w:tcPr>
          <w:p>
            <w:pPr>
              <w:spacing w:before="0" w:after="40" w:line="240" w:lineRule="auto"/>
            </w:pPr>
            <w:r>
              <w:rPr>
                <w:rFonts w:ascii="Microsoft JhengHei" w:hAnsi="Microsoft JhengHei" w:eastAsia="Microsoft JhengHei"/>
                <w:sz w:val="17"/>
              </w:rPr>
              <w:t>[缺值處理紀錄]</w:t>
            </w:r>
          </w:p>
        </w:tc>
      </w:tr>
      <w:tr>
        <w:trPr>
          <w:cantSplit/>
        </w:trPr>
        <w:tc>
          <w:tcPr>
            <w:tcW w:type="dxa" w:w="3335"/>
            <w:vAlign w:val="center"/>
          </w:tcPr>
          <w:p>
            <w:pPr>
              <w:spacing w:before="0" w:after="40" w:line="240" w:lineRule="auto"/>
            </w:pPr>
            <w:r>
              <w:rPr>
                <w:rFonts w:ascii="Microsoft JhengHei" w:hAnsi="Microsoft JhengHei" w:eastAsia="Microsoft JhengHei"/>
                <w:sz w:val="17"/>
              </w:rPr>
              <w:t>判讀界線</w:t>
            </w:r>
          </w:p>
        </w:tc>
        <w:tc>
          <w:tcPr>
            <w:tcW w:type="dxa" w:w="3335"/>
            <w:vAlign w:val="center"/>
          </w:tcPr>
          <w:p>
            <w:pPr>
              <w:spacing w:before="0" w:after="40" w:line="240" w:lineRule="auto"/>
            </w:pPr>
            <w:r>
              <w:rPr>
                <w:rFonts w:ascii="Microsoft JhengHei" w:hAnsi="Microsoft JhengHei" w:eastAsia="Microsoft JhengHei"/>
                <w:sz w:val="17"/>
              </w:rPr>
              <w:t>自評反映主觀感受，不等同實作能力或工作績效；應與正式測驗、作品或觀察結果並列。</w:t>
            </w:r>
          </w:p>
        </w:tc>
        <w:tc>
          <w:tcPr>
            <w:tcW w:type="dxa" w:w="3335"/>
            <w:vAlign w:val="center"/>
          </w:tcPr>
          <w:p>
            <w:pPr>
              <w:spacing w:before="0" w:after="40" w:line="240" w:lineRule="auto"/>
            </w:pPr>
            <w:r>
              <w:rPr>
                <w:rFonts w:ascii="Microsoft JhengHei" w:hAnsi="Microsoft JhengHei" w:eastAsia="Microsoft JhengHei"/>
                <w:sz w:val="17"/>
              </w:rPr>
              <w:t>[限制／資料來源待填]</w:t>
            </w:r>
          </w:p>
        </w:tc>
      </w:tr>
    </w:tbl>
    <w:p>
      <w:pPr>
        <w:spacing w:after="0" w:before="0" w:line="20" w:lineRule="exact"/>
      </w:pPr>
    </w:p>
    <w:p>
      <w:pPr>
        <w:pStyle w:val="Heading1"/>
        <w:keepNext/>
        <w:keepLines/>
      </w:pPr>
      <w:r>
        <w:t>前後自評結果分析與證據核對</w:t>
      </w:r>
    </w:p>
    <w:p>
      <w:pPr>
        <w:keepLines/>
        <w:spacing w:after="100"/>
      </w:pPr>
      <w:r>
        <w:t>本分析表接續前述同版自評與雷達圖輸入。只有具有效配對的真實回覆才可計算；空白模板及合成示例不代表能力提升。</w:t>
      </w:r>
    </w:p>
    <w:tbl>
      <w:tblPr>
        <w:tblStyle w:val="TableGrid"/>
        <w:tblW w:type="auto" w:w="0"/>
        <w:jc w:val="center"/>
        <w:tblLook w:firstColumn="1" w:firstRow="1" w:lastColumn="0" w:lastRow="0" w:noHBand="0" w:noVBand="1" w:val="04A0"/>
      </w:tblPr>
      <w:tblGrid>
        <w:gridCol w:w="3335"/>
        <w:gridCol w:w="3335"/>
        <w:gridCol w:w="3335"/>
      </w:tblGrid>
      <w:tr>
        <w:trPr>
          <w:tblHeader w:val="true"/>
        </w:trPr>
        <w:tc>
          <w:tcPr>
            <w:tcW w:type="dxa" w:w="3335"/>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分析設定</w:t>
            </w:r>
          </w:p>
        </w:tc>
        <w:tc>
          <w:tcPr>
            <w:tcW w:type="dxa" w:w="3335"/>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待填資料／核對方式</w:t>
            </w:r>
          </w:p>
        </w:tc>
        <w:tc>
          <w:tcPr>
            <w:tcW w:type="dxa" w:w="3335"/>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證據位置／覆核</w:t>
            </w:r>
          </w:p>
        </w:tc>
      </w:tr>
      <w:tr>
        <w:trPr>
          <w:cantSplit/>
          <w:cantSplit/>
          <w:cantSplit/>
        </w:trPr>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課程／班次與能力版本</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[實際班次；核定能力指標與問卷版次]</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[課程計畫／核定位置]</w:t>
            </w:r>
          </w:p>
        </w:tc>
      </w:tr>
      <w:tr>
        <w:trPr>
          <w:cantSplit/>
          <w:cantSplit/>
          <w:cantSplit/>
        </w:trPr>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母體、樣本與期間</w:t>
            </w:r>
          </w:p>
        </w:tc>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[適格學員數、邀請數、有效配對數；訓前／訓後日期]</w:t>
            </w:r>
          </w:p>
        </w:tc>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[去識別名冊與施測紀錄]</w:t>
            </w:r>
          </w:p>
        </w:tc>
      </w:tr>
      <w:tr>
        <w:trPr>
          <w:cantSplit/>
          <w:cantSplit/>
          <w:cantSplit/>
        </w:trPr>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基準與比較方式</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[同一批同版配對；若使用其他比較組須說明選取方式]</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[配對清冊／比較資料來源]</w:t>
            </w:r>
          </w:p>
        </w:tc>
      </w:tr>
      <w:tr>
        <w:trPr>
          <w:cantSplit/>
          <w:cantSplit/>
          <w:cantSplit/>
        </w:trPr>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資料血緣與覆核</w:t>
            </w:r>
          </w:p>
        </w:tc>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[原始回覆、清理、排除、計算檔及覆核角色]</w:t>
            </w:r>
          </w:p>
        </w:tc>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[檔名、欄位、版本、核對日期]</w:t>
            </w:r>
          </w:p>
        </w:tc>
      </w:tr>
    </w:tbl>
    <w:tbl>
      <w:tblPr>
        <w:tblStyle w:val="TableGrid"/>
        <w:tblW w:type="auto" w:w="0"/>
        <w:jc w:val="center"/>
        <w:tblLook w:firstColumn="1" w:firstRow="1" w:lastColumn="0" w:lastRow="0" w:noHBand="0" w:noVBand="1" w:val="04A0"/>
      </w:tblPr>
      <w:tblGrid>
        <w:gridCol w:w="1429"/>
        <w:gridCol w:w="1429"/>
        <w:gridCol w:w="1429"/>
        <w:gridCol w:w="1429"/>
        <w:gridCol w:w="1429"/>
        <w:gridCol w:w="1429"/>
        <w:gridCol w:w="1429"/>
      </w:tblGrid>
      <w:tr>
        <w:trPr>
          <w:tblHeader w:val="true"/>
        </w:trPr>
        <w:tc>
          <w:tcPr>
            <w:tcW w:type="dxa" w:w="1429"/>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能力／成果指標</w:t>
            </w:r>
          </w:p>
        </w:tc>
        <w:tc>
          <w:tcPr>
            <w:tcW w:type="dxa" w:w="1429"/>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分子／分母或N</w:t>
            </w:r>
          </w:p>
        </w:tc>
        <w:tc>
          <w:tcPr>
            <w:tcW w:type="dxa" w:w="1429"/>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基準／訓前</w:t>
            </w:r>
          </w:p>
        </w:tc>
        <w:tc>
          <w:tcPr>
            <w:tcW w:type="dxa" w:w="1429"/>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目標／來源</w:t>
            </w:r>
          </w:p>
        </w:tc>
        <w:tc>
          <w:tcPr>
            <w:tcW w:type="dxa" w:w="1429"/>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實際／訓後</w:t>
            </w:r>
          </w:p>
        </w:tc>
        <w:tc>
          <w:tcPr>
            <w:tcW w:type="dxa" w:w="1429"/>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變化與限制</w:t>
            </w:r>
          </w:p>
        </w:tc>
        <w:tc>
          <w:tcPr>
            <w:tcW w:type="dxa" w:w="1429"/>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證據位置</w:t>
            </w:r>
          </w:p>
        </w:tc>
      </w:tr>
      <w:tr>
        <w:trPr>
          <w:cantSplit/>
          <w:cantSplit/>
          <w:cantSplit/>
          <w:cantSplit/>
          <w:cantSplit/>
          <w:cantSplit/>
          <w:cantSplit/>
        </w:trPr>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[依核定能力項目；逐項填]</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[有效配對N；待算]</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[待取得]</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[核定目標；無則說明]</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[待取得]</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[差值／變化率；缺值與偏差]</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[待補]</w:t>
            </w:r>
          </w:p>
        </w:tc>
      </w:tr>
      <w:tr>
        <w:trPr>
          <w:cantSplit/>
          <w:cantSplit/>
          <w:cantSplit/>
          <w:cantSplit/>
          <w:cantSplit/>
          <w:cantSplit/>
          <w:cantSplit/>
        </w:trPr>
        <w:tc>
          <w:tcPr>
            <w:tcW w:type="dxa" w:w="1429"/>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[能力項目]</w:t>
            </w:r>
          </w:p>
        </w:tc>
        <w:tc>
          <w:tcPr>
            <w:tcW w:type="dxa" w:w="1429"/>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[N]</w:t>
            </w:r>
          </w:p>
        </w:tc>
        <w:tc>
          <w:tcPr>
            <w:tcW w:type="dxa" w:w="1429"/>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[待補]</w:t>
            </w:r>
          </w:p>
        </w:tc>
        <w:tc>
          <w:tcPr>
            <w:tcW w:type="dxa" w:w="1429"/>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[待核]</w:t>
            </w:r>
          </w:p>
        </w:tc>
        <w:tc>
          <w:tcPr>
            <w:tcW w:type="dxa" w:w="1429"/>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[待補]</w:t>
            </w:r>
          </w:p>
        </w:tc>
        <w:tc>
          <w:tcPr>
            <w:tcW w:type="dxa" w:w="1429"/>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[待算]</w:t>
            </w:r>
          </w:p>
        </w:tc>
        <w:tc>
          <w:tcPr>
            <w:tcW w:type="dxa" w:w="1429"/>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[待補]</w:t>
            </w:r>
          </w:p>
        </w:tc>
      </w:tr>
      <w:tr>
        <w:trPr>
          <w:cantSplit/>
          <w:cantSplit/>
          <w:cantSplit/>
          <w:cantSplit/>
          <w:cantSplit/>
          <w:cantSplit/>
          <w:cantSplit/>
        </w:trPr>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[能力項目]</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[N]</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[待補]</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[待核]</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[待補]</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[待算]</w:t>
            </w:r>
          </w:p>
        </w:tc>
        <w:tc>
          <w:tcPr>
            <w:tcW w:type="dxa" w:w="1429"/>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[待補]</w:t>
            </w:r>
          </w:p>
        </w:tc>
      </w:tr>
    </w:tbl>
    <w:tbl>
      <w:tblPr>
        <w:tblStyle w:val="TableGrid"/>
        <w:tblW w:type="auto" w:w="0"/>
        <w:jc w:val="center"/>
        <w:tblLook w:firstColumn="1" w:firstRow="1" w:lastColumn="0" w:lastRow="0" w:noHBand="0" w:noVBand="1" w:val="04A0"/>
      </w:tblPr>
      <w:tblGrid>
        <w:gridCol w:w="3335"/>
        <w:gridCol w:w="3335"/>
        <w:gridCol w:w="3335"/>
      </w:tblGrid>
      <w:tr>
        <w:trPr>
          <w:tblHeader w:val="true"/>
        </w:trPr>
        <w:tc>
          <w:tcPr>
            <w:tcW w:type="dxa" w:w="3335"/>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指標</w:t>
            </w:r>
          </w:p>
        </w:tc>
        <w:tc>
          <w:tcPr>
            <w:tcW w:type="dxa" w:w="3335"/>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公式與零值規則</w:t>
            </w:r>
          </w:p>
        </w:tc>
        <w:tc>
          <w:tcPr>
            <w:tcW w:type="dxa" w:w="3335"/>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結果／覆核</w:t>
            </w:r>
          </w:p>
        </w:tc>
      </w:tr>
      <w:tr>
        <w:trPr>
          <w:cantSplit/>
          <w:cantSplit/>
          <w:cantSplit/>
        </w:trPr>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成果率</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符合事前定義成果的人數 ÷ 可評估人數；分母0列不適用，且明列成果定義。</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[待計算]</w:t>
            </w:r>
          </w:p>
        </w:tc>
      </w:tr>
      <w:tr>
        <w:trPr>
          <w:cantSplit/>
          <w:cantSplit/>
          <w:cantSplit/>
        </w:trPr>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配對變化率</w:t>
            </w:r>
          </w:p>
        </w:tc>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(訓後平均－訓前平均) ÷ 訓前平均；訓前為0或不適用時不得算百分比，改列絕對變化並解釋。</w:t>
            </w:r>
          </w:p>
        </w:tc>
        <w:tc>
          <w:tcPr>
            <w:tcW w:type="dxa" w:w="3335"/>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[待計算]</w:t>
            </w:r>
          </w:p>
        </w:tc>
      </w:tr>
      <w:tr>
        <w:trPr>
          <w:cantSplit/>
          <w:cantSplit/>
          <w:cantSplit/>
        </w:trPr>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有效配對率</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有效訓前訓後配對人數 ÷ 適格且到期受測人數；未回覆與排除另列。</w:t>
            </w:r>
          </w:p>
        </w:tc>
        <w:tc>
          <w:tcPr>
            <w:tcW w:type="dxa" w:w="3335"/>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[待計算]</w:t>
            </w:r>
          </w:p>
        </w:tc>
      </w:tr>
    </w:tbl>
    <w:p>
      <w:pPr>
        <w:pStyle w:val="Heading2"/>
        <w:keepNext/>
        <w:keepLines/>
      </w:pPr>
      <w:r>
        <w:t>案例核對與交叉驗證</w:t>
      </w:r>
    </w:p>
    <w:tbl>
      <w:tblPr>
        <w:tblStyle w:val="TableGrid"/>
        <w:tblW w:type="auto" w:w="0"/>
        <w:jc w:val="center"/>
        <w:tblLook w:firstColumn="1" w:firstRow="1" w:lastColumn="0" w:lastRow="0" w:noHBand="0" w:noVBand="1" w:val="04A0"/>
      </w:tblPr>
      <w:tblGrid>
        <w:gridCol w:w="1668"/>
        <w:gridCol w:w="1668"/>
        <w:gridCol w:w="1668"/>
        <w:gridCol w:w="1668"/>
        <w:gridCol w:w="1668"/>
        <w:gridCol w:w="1668"/>
      </w:tblGrid>
      <w:tr>
        <w:trPr>
          <w:tblHeader w:val="true"/>
        </w:trPr>
        <w:tc>
          <w:tcPr>
            <w:tcW w:type="dxa" w:w="1668"/>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匿名案例ID</w:t>
            </w:r>
          </w:p>
        </w:tc>
        <w:tc>
          <w:tcPr>
            <w:tcW w:type="dxa" w:w="1668"/>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訓前狀態／需求</w:t>
            </w:r>
          </w:p>
        </w:tc>
        <w:tc>
          <w:tcPr>
            <w:tcW w:type="dxa" w:w="1668"/>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訓練介入與期間</w:t>
            </w:r>
          </w:p>
        </w:tc>
        <w:tc>
          <w:tcPr>
            <w:tcW w:type="dxa" w:w="1668"/>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訓後狀態／所學應用</w:t>
            </w:r>
          </w:p>
        </w:tc>
        <w:tc>
          <w:tcPr>
            <w:tcW w:type="dxa" w:w="1668"/>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可核對佐證／同意</w:t>
            </w:r>
          </w:p>
        </w:tc>
        <w:tc>
          <w:tcPr>
            <w:tcW w:type="dxa" w:w="1668"/>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限制與覆核</w:t>
            </w:r>
          </w:p>
        </w:tc>
      </w:tr>
      <w:tr>
        <w:trPr>
          <w:cantSplit/>
          <w:cantSplit/>
          <w:cantSplit/>
          <w:cantSplit/>
          <w:cantSplit/>
          <w:cantSplit/>
        </w:trPr>
        <w:tc>
          <w:tcPr>
            <w:tcW w:type="dxa" w:w="1668"/>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[去識別碼；不填姓名]</w:t>
            </w:r>
          </w:p>
        </w:tc>
        <w:tc>
          <w:tcPr>
            <w:tcW w:type="dxa" w:w="1668"/>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[原始資料待補]</w:t>
            </w:r>
          </w:p>
        </w:tc>
        <w:tc>
          <w:tcPr>
            <w:tcW w:type="dxa" w:w="1668"/>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[實際課程與期間待補]</w:t>
            </w:r>
          </w:p>
        </w:tc>
        <w:tc>
          <w:tcPr>
            <w:tcW w:type="dxa" w:w="1668"/>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[本人回覆；不得推定]</w:t>
            </w:r>
          </w:p>
        </w:tc>
        <w:tc>
          <w:tcPr>
            <w:tcW w:type="dxa" w:w="1668"/>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[作品／正式評量／同意狀態]</w:t>
            </w:r>
          </w:p>
        </w:tc>
        <w:tc>
          <w:tcPr>
            <w:tcW w:type="dxa" w:w="1668"/>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[混雜因素、缺值、覆核]</w:t>
            </w:r>
          </w:p>
        </w:tc>
      </w:tr>
      <w:tr>
        <w:trPr>
          <w:cantSplit/>
          <w:cantSplit/>
          <w:cantSplit/>
          <w:cantSplit/>
          <w:cantSplit/>
          <w:cantSplit/>
        </w:trPr>
        <w:tc>
          <w:tcPr>
            <w:tcW w:type="dxa" w:w="1668"/>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[無案例時填不適用並說明母體／隱私原因]</w:t>
            </w:r>
          </w:p>
        </w:tc>
        <w:tc>
          <w:tcPr>
            <w:tcW w:type="dxa" w:w="1668"/>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[待填]</w:t>
            </w:r>
          </w:p>
        </w:tc>
        <w:tc>
          <w:tcPr>
            <w:tcW w:type="dxa" w:w="1668"/>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[待填]</w:t>
            </w:r>
          </w:p>
        </w:tc>
        <w:tc>
          <w:tcPr>
            <w:tcW w:type="dxa" w:w="1668"/>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[待填]</w:t>
            </w:r>
          </w:p>
        </w:tc>
        <w:tc>
          <w:tcPr>
            <w:tcW w:type="dxa" w:w="1668"/>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[待補]</w:t>
            </w:r>
          </w:p>
        </w:tc>
        <w:tc>
          <w:tcPr>
            <w:tcW w:type="dxa" w:w="1668"/>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[理由]</w:t>
            </w:r>
          </w:p>
        </w:tc>
      </w:tr>
    </w:tbl>
    <w:tbl>
      <w:tblPr>
        <w:tblStyle w:val="TableGrid"/>
        <w:tblW w:type="auto" w:w="0"/>
        <w:jc w:val="center"/>
        <w:tblLook w:firstColumn="1" w:firstRow="1" w:lastColumn="0" w:lastRow="0" w:noHBand="0" w:noVBand="1" w:val="04A0"/>
      </w:tblPr>
      <w:tblGrid>
        <w:gridCol w:w="2501"/>
        <w:gridCol w:w="2501"/>
        <w:gridCol w:w="2501"/>
        <w:gridCol w:w="2501"/>
      </w:tblGrid>
      <w:tr>
        <w:trPr>
          <w:tblHeader w:val="true"/>
        </w:trPr>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證據型態（工作分類，非官方評分級距）</w:t>
            </w:r>
          </w:p>
        </w:tc>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目前可核對項</w:t>
            </w:r>
          </w:p>
        </w:tc>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升級所需資料／缺口</w:t>
            </w:r>
          </w:p>
        </w:tc>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判讀與來源</w:t>
            </w:r>
          </w:p>
        </w:tc>
      </w:tr>
      <w:tr>
        <w:trPr>
          <w:cantSplit/>
          <w:cantSplit/>
          <w:cantSplit/>
          <w:cantSplit/>
        </w:trPr>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僅有工具／規劃</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[本表目前為空白工具]</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取得同版訓前訓後原始回覆及配對清冊。</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[待填]</w:t>
            </w:r>
          </w:p>
        </w:tc>
      </w:tr>
      <w:tr>
        <w:trPr>
          <w:cantSplit/>
          <w:cantSplit/>
          <w:cantSplit/>
          <w:cantSplit/>
        </w:trPr>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有配對自評資料</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[待查]</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依同一量尺重算並覆核分母、缺值與圖表。</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[待填]</w:t>
            </w:r>
          </w:p>
        </w:tc>
      </w:tr>
      <w:tr>
        <w:trPr>
          <w:cantSplit/>
          <w:cantSplit/>
          <w:cantSplit/>
          <w:cantSplit/>
        </w:trPr>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有客觀評量或作品交叉佐證</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[待查]</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取得正式評量、作品或觀察的授權原件。</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[待填]</w:t>
            </w:r>
          </w:p>
        </w:tc>
      </w:tr>
      <w:tr>
        <w:trPr>
          <w:cantSplit/>
          <w:cantSplit/>
          <w:cantSplit/>
          <w:cantSplit/>
        </w:trPr>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有持續追蹤／第三方佐證</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[待查]</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取得可核對、可使用的追蹤或第三方證明。</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[待填]</w:t>
            </w:r>
          </w:p>
        </w:tc>
      </w:tr>
    </w:tbl>
    <w:tbl>
      <w:tblPr>
        <w:tblStyle w:val="TableGrid"/>
        <w:tblW w:type="auto" w:w="0"/>
        <w:jc w:val="center"/>
        <w:tblLook w:firstColumn="1" w:firstRow="1" w:lastColumn="0" w:lastRow="0" w:noHBand="0" w:noVBand="1" w:val="04A0"/>
      </w:tblPr>
      <w:tblGrid>
        <w:gridCol w:w="2501"/>
        <w:gridCol w:w="2501"/>
        <w:gridCol w:w="2501"/>
        <w:gridCol w:w="2501"/>
      </w:tblGrid>
      <w:tr>
        <w:trPr>
          <w:tblHeader w:val="true"/>
        </w:trPr>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17／18／19交叉驗證項</w:t>
            </w:r>
          </w:p>
        </w:tc>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交叉文件／來源ID</w:t>
            </w:r>
          </w:p>
        </w:tc>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一致性／差異處理</w:t>
            </w:r>
          </w:p>
        </w:tc>
        <w:tc>
          <w:tcPr>
            <w:tcW w:type="dxa" w:w="2501"/>
            <w:vAlign w:val="center"/>
            <w:shd w:fill="1F4E78"/>
            <w:tcMar>
              <w:top w:w="90" w:type="dxa"/>
              <w:start w:w="100" w:type="dxa"/>
              <w:bottom w:w="90" w:type="dxa"/>
              <w:end w:w="100" w:type="dxa"/>
            </w:tcMar>
          </w:tcPr>
          <w:p>
            <w:pPr>
              <w:spacing w:after="40" w:before="20"/>
            </w:pPr>
            <w:r>
              <w:rPr>
                <w:rFonts w:ascii="Microsoft JhengHei" w:hAnsi="Microsoft JhengHei" w:eastAsia="Microsoft JhengHei"/>
                <w:b/>
                <w:color w:val="FFFFFF"/>
                <w:sz w:val="20"/>
              </w:rPr>
              <w:t>改善或擴散決定／下次驗證</w:t>
            </w:r>
          </w:p>
        </w:tc>
      </w:tr>
      <w:tr>
        <w:trPr>
          <w:cantSplit/>
          <w:cantSplit/>
          <w:cantSplit/>
          <w:cantSplit/>
        </w:trPr>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學習評量與課程改善</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[引用17相關結果文件ID；不複製原始事實]</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[同口徑核對；差異列原因]</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[待填]</w:t>
            </w:r>
          </w:p>
        </w:tc>
      </w:tr>
      <w:tr>
        <w:trPr>
          <w:cantSplit/>
          <w:cantSplit/>
          <w:cantSplit/>
          <w:cantSplit/>
        </w:trPr>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訓後職涯／工作運用</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[引用19相關文件ID；不複製個案資料]</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[需同意與去識別；待查]</w:t>
            </w:r>
          </w:p>
        </w:tc>
        <w:tc>
          <w:tcPr>
            <w:tcW w:type="dxa" w:w="2501"/>
            <w:vAlign w:val="center"/>
            <w:shd w:fill="FFFFFF"/>
            <w:tcMar>
              <w:top w:w="90" w:type="dxa"/>
              <w:start w:w="100" w:type="dxa"/>
              <w:bottom w:w="90" w:type="dxa"/>
              <w:end w:w="100" w:type="dxa"/>
            </w:tcMar>
          </w:tcPr>
          <w:p>
            <w:pPr>
              <w:spacing w:after="40" w:before="20"/>
            </w:pPr>
            <w:r>
              <w:rPr>
                <w:rFonts w:ascii="Microsoft JhengHei" w:hAnsi="Microsoft JhengHei" w:eastAsia="Microsoft JhengHei"/>
                <w:sz w:val="20"/>
              </w:rPr>
              <w:t>[待填]</w:t>
            </w:r>
          </w:p>
        </w:tc>
      </w:tr>
      <w:tr>
        <w:trPr>
          <w:cantSplit/>
          <w:cantSplit/>
          <w:cantSplit/>
          <w:cantSplit/>
        </w:trPr>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經營或社會成果（適用時）</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[引用相應19文件ID；不預設適用]</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[不適用請寫理由；避免因果推論]</w:t>
            </w:r>
          </w:p>
        </w:tc>
        <w:tc>
          <w:tcPr>
            <w:tcW w:type="dxa" w:w="2501"/>
            <w:vAlign w:val="center"/>
            <w:shd w:fill="F3F6FA"/>
            <w:tcMar>
              <w:top w:w="90" w:type="dxa"/>
              <w:start w:w="100" w:type="dxa"/>
              <w:bottom w:w="90" w:type="dxa"/>
              <w:end w:w="100" w:type="dxa"/>
            </w:tcMar>
          </w:tcPr>
          <w:p>
            <w:pPr>
              <w:spacing w:after="40" w:before="20"/>
            </w:pPr>
            <w:r>
              <w:rPr>
                <w:rFonts w:ascii="Microsoft JhengHei" w:hAnsi="Microsoft JhengHei" w:eastAsia="Microsoft JhengHei"/>
                <w:sz w:val="20"/>
              </w:rPr>
              <w:t>[待填]</w:t>
            </w:r>
          </w:p>
        </w:tc>
      </w:tr>
    </w:tbl>
    <w:p>
      <w:pPr>
        <w:keepLines/>
        <w:spacing w:before="60" w:after="120"/>
      </w:pPr>
      <w:r>
        <w:rPr>
          <w:b/>
          <w:color w:val="9C4500"/>
        </w:rPr>
        <w:t>證據分級欄僅供本工作稿彙整證據型態，並非TTQS官方等級。協會尚未核定本表分類時，請記錄證據型態與缺口，不標分數級距。</w:t>
      </w: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學員培訓前後自我評量與雷達圖資料表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