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年度訓練班次與參訓人次趨勢表</w:t>
      </w:r>
    </w:p>
    <w:p>
      <w:pPr>
        <w:spacing w:after="60"/>
      </w:pPr>
      <w:r>
        <w:rPr>
          <w:rFonts w:ascii="Microsoft JhengHei" w:hAnsi="Microsoft JhengHei" w:eastAsia="Microsoft JhengHei"/>
          <w:i/>
          <w:color w:val="566575"/>
          <w:sz w:val="17"/>
        </w:rPr>
        <w:t>填寫入口：先看本文件快速閱讀，再依後段「操作工具補充」完成專屬表單、判斷與追蹤。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社團法人屏東縣原始點關懷協會｜可編輯工作稿／待補真實資料</w:t>
      </w: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先看項目</w:t>
            </w:r>
          </w:p>
        </w:tc>
        <w:tc>
          <w:tcPr>
            <w:tcW w:type="dxa" w:w="792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說明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這份文件要證明什麼？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以逐年可查證的實際開班及出席資料，分開呈現訓練班次與參訓人次趨勢。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怎麼使用？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依年度核准課程及實際辦理紀錄清點，統一班次、人次、取消及跨年課程口徑。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先看哪裡？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先核對年度範圍、納入班次清單及人次來源，再查看年增幅與例外。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目前資料狀態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目前未取得本會可核驗的歷年開班清冊、簽到或結訓資料；趨勢待補。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對應查核項目：每年訓練班次、人次均持續成長。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只記錄有來源可回查的實際資料；未取得、未回覆、不適用與尚未辦理分開標示。不同期間須使用可比口徑；不得以目標、推估或他機構資料代替本會成果。個人資料用代碼並限制存取。</w:t>
      </w:r>
    </w:p>
    <w:p>
      <w:pPr>
        <w:pStyle w:val="Heading2"/>
        <w:keepNext/>
        <w:keepLines/>
      </w:pPr>
      <w:r>
        <w:rPr>
          <w:rFonts w:ascii="Microsoft JhengHei" w:hAnsi="Microsoft JhengHei" w:eastAsia="Microsoft JhengHei"/>
          <w:b/>
          <w:color w:val="245A81"/>
          <w:sz w:val="24"/>
        </w:rPr>
        <w:t>一、年度統計範圍與口徑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欄位</w:t>
            </w:r>
          </w:p>
        </w:tc>
        <w:tc>
          <w:tcPr>
            <w:tcW w:type="dxa" w:w="75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實際資料／待填</w:t>
            </w:r>
          </w:p>
        </w:tc>
      </w:tr>
      <w:t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年度與課程範圍</w:t>
            </w:r>
          </w:p>
        </w:tc>
        <w:tc>
          <w:tcPr>
            <w:tcW w:type="dxa" w:w="75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[待補：年度、課程類別、納入／排除規則]</w:t>
            </w:r>
          </w:p>
        </w:tc>
      </w:tr>
      <w:t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班次定義</w:t>
            </w:r>
          </w:p>
        </w:tc>
        <w:tc>
          <w:tcPr>
            <w:tcW w:type="dxa" w:w="75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[待補：一班的識別方式；取消、合併、重開如何處理]</w:t>
            </w:r>
          </w:p>
        </w:tc>
      </w:tr>
      <w:t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參訓人次定義</w:t>
            </w:r>
          </w:p>
        </w:tc>
        <w:tc>
          <w:tcPr>
            <w:tcW w:type="dxa" w:w="75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[待補：以實際出席或報到為準；同人跨班可重複計次]</w:t>
            </w:r>
          </w:p>
        </w:tc>
      </w:tr>
      <w:t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資料來源與覆核</w:t>
            </w:r>
          </w:p>
        </w:tc>
        <w:tc>
          <w:tcPr>
            <w:tcW w:type="dxa" w:w="75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[待補：課程計畫、簽到、結訓名冊及覆核方式]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Microsoft JhengHei" w:hAnsi="Microsoft JhengHei" w:eastAsia="Microsoft JhengHei"/>
          <w:b/>
          <w:color w:val="245A81"/>
          <w:sz w:val="24"/>
        </w:rPr>
        <w:t>二、年度底冊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10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年度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課程／類別</w:t>
            </w:r>
          </w:p>
        </w:tc>
        <w:tc>
          <w:tcPr>
            <w:tcW w:type="dxa" w:w="158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實際班次</w:t>
            </w:r>
          </w:p>
        </w:tc>
        <w:tc>
          <w:tcPr>
            <w:tcW w:type="dxa" w:w="187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實際參訓人次</w:t>
            </w:r>
          </w:p>
        </w:tc>
        <w:tc>
          <w:tcPr>
            <w:tcW w:type="dxa" w:w="302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來源位置／覆核</w:t>
            </w:r>
          </w:p>
        </w:tc>
      </w:tr>
      <w:tr>
        <w:tc>
          <w:tcPr>
            <w:tcW w:type="dxa" w:w="10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10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10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10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結果判讀與後續處理</w:t>
      </w:r>
    </w:p>
    <w:p>
      <w:pPr>
        <w:pStyle w:val="Heading2"/>
        <w:keepNext/>
        <w:keepLines/>
      </w:pPr>
      <w:r>
        <w:rPr>
          <w:rFonts w:ascii="Microsoft JhengHei" w:hAnsi="Microsoft JhengHei" w:eastAsia="Microsoft JhengHei"/>
          <w:b/>
          <w:color w:val="245A81"/>
          <w:sz w:val="24"/>
        </w:rPr>
        <w:t>三、年度趨勢及計算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年度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班次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班次年增率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人次</w:t>
            </w:r>
          </w:p>
        </w:tc>
        <w:tc>
          <w:tcPr>
            <w:tcW w:type="dxa" w:w="32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人次年增率</w:t>
            </w:r>
          </w:p>
        </w:tc>
      </w:tr>
      <w:tr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基準年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不適用／待補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32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不適用／待補</w:t>
            </w:r>
          </w:p>
        </w:tc>
      </w:tr>
      <w:tr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比較年一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(本年－前一年)÷前一年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32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(本年－前一年)÷前一年</w:t>
            </w:r>
          </w:p>
        </w:tc>
      </w:tr>
      <w:tr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比較年二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32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Microsoft JhengHei" w:hAnsi="Microsoft JhengHei" w:eastAsia="Microsoft JhengHei"/>
          <w:b/>
          <w:color w:val="245A81"/>
          <w:sz w:val="24"/>
        </w:rPr>
        <w:t>四、差異解釋與決定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37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項目</w:t>
            </w:r>
          </w:p>
        </w:tc>
        <w:tc>
          <w:tcPr>
            <w:tcW w:type="dxa" w:w="76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實際資料／待填</w:t>
            </w:r>
          </w:p>
        </w:tc>
      </w:tr>
      <w:t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是否逐年增加</w:t>
            </w:r>
          </w:p>
        </w:tc>
        <w:tc>
          <w:tcPr>
            <w:tcW w:type="dxa" w:w="76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□是 □否 □資料不足；逐年班次及人次分別判讀，不以單年高點代替持續成長。</w:t>
            </w:r>
          </w:p>
        </w:tc>
      </w:tr>
      <w:t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差異原因與外部因素</w:t>
            </w:r>
          </w:p>
        </w:tc>
        <w:tc>
          <w:tcPr>
            <w:tcW w:type="dxa" w:w="76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[待補：課程開辦、場地、需求、資源或統計口徑變動]。</w:t>
            </w:r>
          </w:p>
        </w:tc>
      </w:tr>
      <w:t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後續安排與風險</w:t>
            </w:r>
          </w:p>
        </w:tc>
        <w:tc>
          <w:tcPr>
            <w:tcW w:type="dxa" w:w="76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[待補：核定計畫、資源條件、負責角色及下一年度檢核]。</w:t>
            </w:r>
          </w:p>
        </w:tc>
      </w:tr>
    </w:tbl>
    <w:p>
      <w:pPr>
        <w:spacing w:after="0"/>
      </w:pPr>
    </w:p>
    <w:p>
      <w:pPr>
        <w:keepLines/>
        <w:spacing w:before="60" w:after="120"/>
      </w:pPr>
      <w:r>
        <w:rPr>
          <w:b/>
          <w:color w:val="9C4500"/>
        </w:rPr>
        <w:t>個案成果不屬於本件年度趨勢表的必要個案分析；如需說明個別就業或能力變化，引用其專屬紀錄並另行保護個資。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20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改善／擴散決定</w:t>
            </w:r>
          </w:p>
        </w:tc>
        <w:tc>
          <w:tcPr>
            <w:tcW w:type="dxa" w:w="20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觸發差距與依據</w:t>
            </w:r>
          </w:p>
        </w:tc>
        <w:tc>
          <w:tcPr>
            <w:tcW w:type="dxa" w:w="20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責任角色／期限</w:t>
            </w:r>
          </w:p>
        </w:tc>
        <w:tc>
          <w:tcPr>
            <w:tcW w:type="dxa" w:w="20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下一次檢核指標／來源</w:t>
            </w:r>
          </w:p>
        </w:tc>
        <w:tc>
          <w:tcPr>
            <w:tcW w:type="dxa" w:w="20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覆核結果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20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[待決；不得因目標預設擴張]</w:t>
            </w:r>
          </w:p>
        </w:tc>
        <w:tc>
          <w:tcPr>
            <w:tcW w:type="dxa" w:w="20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[依逐年實際資料判讀]</w:t>
            </w:r>
          </w:p>
        </w:tc>
        <w:tc>
          <w:tcPr>
            <w:tcW w:type="dxa" w:w="20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[待核定]</w:t>
            </w:r>
          </w:p>
        </w:tc>
        <w:tc>
          <w:tcPr>
            <w:tcW w:type="dxa" w:w="20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[下一期班次及人次底冊]</w:t>
            </w:r>
          </w:p>
        </w:tc>
        <w:tc>
          <w:tcPr>
            <w:tcW w:type="dxa" w:w="20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[實施後填]</w:t>
            </w:r>
          </w:p>
        </w:tc>
      </w:tr>
    </w:tbl>
    <w:p>
      <w:pPr>
        <w:pStyle w:val="Heading2"/>
        <w:keepNext/>
        <w:keepLines/>
        <w:spacing w:before="120" w:after="60"/>
      </w:pPr>
      <w:r>
        <w:t>改善／擴散決定與下次驗證</w:t>
      </w:r>
    </w:p>
    <w:p>
      <w:pPr>
        <w:pStyle w:val="Heading2"/>
        <w:keepNext/>
        <w:keepLines/>
      </w:pPr>
      <w:r>
        <w:rPr>
          <w:rFonts w:ascii="Microsoft JhengHei" w:hAnsi="Microsoft JhengHei" w:eastAsia="Microsoft JhengHei"/>
          <w:b/>
          <w:color w:val="245A81"/>
          <w:sz w:val="24"/>
        </w:rPr>
        <w:t>資料來源與核對索引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資料項目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來源狀態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檔名／位置／頁次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覆核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官方查核項目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已核對原始查核表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第8–9頁，依各項清冊頁次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已核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年度課程核准與實際開班紀錄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待取得或待補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[檔名／日期／頁次／欄位]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[待核]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簽到、出席及結訓名冊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待取得或待補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[檔名／日期／頁次／欄位]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[待核]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  <w:pageBreakBefore/>
      </w:pPr>
      <w:r>
        <w:t>操作工具補充｜雙指標年度趨勢圖與持續成長判定</w:t>
      </w:r>
    </w:p>
    <w:p>
      <w:pPr>
        <w:keepLines/>
        <w:spacing w:before="40" w:after="80"/>
      </w:pPr>
      <w:r>
        <w:rPr>
          <w:rFonts w:ascii="Microsoft JhengHei" w:hAnsi="Microsoft JhengHei" w:eastAsia="Microsoft JhengHei"/>
          <w:b w:val="0"/>
          <w:i w:val="0"/>
          <w:sz w:val="18"/>
        </w:rPr>
        <w:t>班次與參訓人次是兩項不同指標，須分別由原始清冊計算並判定。以下圖表僅留空白軸線，不含虛構年度或數值；實際數據到齊前不得連線或宣稱持續成長。</w:t>
      </w:r>
    </w:p>
    <w:p>
      <w:pPr>
        <w:pStyle w:val="Heading2"/>
        <w:keepNext/>
        <w:keepLines/>
      </w:pPr>
      <w:r>
        <w:t>1. 年度訓練班次趨勢圖（空白版）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297680" cy="14504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33_blank_class_tren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14504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keepLines/>
      </w:pPr>
      <w:r>
        <w:t>2. 年度參訓人次趨勢圖（空白版）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297680" cy="14504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33_blank_participant_tren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14504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keepLines/>
      </w:pPr>
      <w:r>
        <w:t>3. 計算與連續成長判定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cantSplit/>
          <w:tblHeader w:val="true"/>
        </w:trPr>
        <w:tc>
          <w:tcPr>
            <w:tcW w:type="dxa" w:w="3335"/>
            <w:vAlign w:val="center"/>
            <w:shd w:fill="1F4E78"/>
            <w:tcMar>
              <w:top w:w="25" w:type="dxa"/>
              <w:bottom w:w="25" w:type="dxa"/>
              <w:start w:w="60" w:type="dxa"/>
              <w:end w:w="60" w:type="dxa"/>
            </w:tcMar>
          </w:tcPr>
          <w:p>
            <w:pPr>
              <w:keepNext/>
              <w:keepLines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3335"/>
            <w:vAlign w:val="center"/>
            <w:shd w:fill="1F4E78"/>
            <w:tcMar>
              <w:top w:w="25" w:type="dxa"/>
              <w:bottom w:w="25" w:type="dxa"/>
              <w:start w:w="60" w:type="dxa"/>
              <w:end w:w="60" w:type="dxa"/>
            </w:tcMar>
          </w:tcPr>
          <w:p>
            <w:pPr>
              <w:keepNext/>
              <w:keepLines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公式／判定規則</w:t>
            </w:r>
          </w:p>
        </w:tc>
        <w:tc>
          <w:tcPr>
            <w:tcW w:type="dxa" w:w="3335"/>
            <w:vAlign w:val="center"/>
            <w:shd w:fill="1F4E78"/>
            <w:tcMar>
              <w:top w:w="25" w:type="dxa"/>
              <w:bottom w:w="25" w:type="dxa"/>
              <w:start w:w="60" w:type="dxa"/>
              <w:end w:w="60" w:type="dxa"/>
            </w:tcMar>
          </w:tcPr>
          <w:p>
            <w:pPr>
              <w:keepNext/>
              <w:keepLines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待填數據／證據</w:t>
            </w:r>
          </w:p>
        </w:tc>
      </w:tr>
      <w:tr>
        <w:trPr>
          <w:cantSplit/>
        </w:trPr>
        <w:tc>
          <w:tcPr>
            <w:tcW w:type="dxa" w:w="3335"/>
            <w:vAlign w:val="center"/>
            <w:tcMar>
              <w:top w:w="25" w:type="dxa"/>
              <w:bottom w:w="25" w:type="dxa"/>
              <w:start w:w="6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班次年增率</w:t>
            </w:r>
          </w:p>
        </w:tc>
        <w:tc>
          <w:tcPr>
            <w:tcW w:type="dxa" w:w="3335"/>
            <w:vAlign w:val="center"/>
            <w:tcMar>
              <w:top w:w="25" w:type="dxa"/>
              <w:bottom w:w="25" w:type="dxa"/>
              <w:start w:w="6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(本年度班次－前年度班次) ÷ 前年度班次 × 100%。前年度為0或缺值時不計百分比，改列絕對差額並說明。</w:t>
            </w:r>
          </w:p>
        </w:tc>
        <w:tc>
          <w:tcPr>
            <w:tcW w:type="dxa" w:w="3335"/>
            <w:vAlign w:val="center"/>
            <w:tcMar>
              <w:top w:w="25" w:type="dxa"/>
              <w:bottom w:w="25" w:type="dxa"/>
              <w:start w:w="6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[兩年度值／原始班次清冊／覆核]</w:t>
            </w:r>
          </w:p>
        </w:tc>
      </w:tr>
      <w:tr>
        <w:trPr>
          <w:cantSplit/>
        </w:trPr>
        <w:tc>
          <w:tcPr>
            <w:tcW w:type="dxa" w:w="3335"/>
            <w:vAlign w:val="center"/>
            <w:shd w:fill="F2F6FA"/>
            <w:tcMar>
              <w:top w:w="25" w:type="dxa"/>
              <w:bottom w:w="25" w:type="dxa"/>
              <w:start w:w="6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參訓人次年增率</w:t>
            </w:r>
          </w:p>
        </w:tc>
        <w:tc>
          <w:tcPr>
            <w:tcW w:type="dxa" w:w="3335"/>
            <w:vAlign w:val="center"/>
            <w:shd w:fill="F2F6FA"/>
            <w:tcMar>
              <w:top w:w="25" w:type="dxa"/>
              <w:bottom w:w="25" w:type="dxa"/>
              <w:start w:w="6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(本年度人次－前年度人次) ÷ 前年度人次 × 100%。前年度為0或缺值時不計百分比，改列絕對差額並說明。</w:t>
            </w:r>
          </w:p>
        </w:tc>
        <w:tc>
          <w:tcPr>
            <w:tcW w:type="dxa" w:w="3335"/>
            <w:vAlign w:val="center"/>
            <w:shd w:fill="F2F6FA"/>
            <w:tcMar>
              <w:top w:w="25" w:type="dxa"/>
              <w:bottom w:w="25" w:type="dxa"/>
              <w:start w:w="6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[兩年度值／出席原始資料／覆核]</w:t>
            </w:r>
          </w:p>
        </w:tc>
      </w:tr>
      <w:tr>
        <w:trPr>
          <w:cantSplit/>
        </w:trPr>
        <w:tc>
          <w:tcPr>
            <w:tcW w:type="dxa" w:w="3335"/>
            <w:vAlign w:val="center"/>
            <w:tcMar>
              <w:top w:w="25" w:type="dxa"/>
              <w:bottom w:w="25" w:type="dxa"/>
              <w:start w:w="6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持續成長判定</w:t>
            </w:r>
          </w:p>
        </w:tc>
        <w:tc>
          <w:tcPr>
            <w:tcW w:type="dxa" w:w="3335"/>
            <w:vAlign w:val="center"/>
            <w:tcMar>
              <w:top w:w="25" w:type="dxa"/>
              <w:bottom w:w="25" w:type="dxa"/>
              <w:start w:w="6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按事前定義的連續年度區間，班次每一相鄰年度均增加且人次每一相鄰年度均增加，才可標示「持續成長」。任一項不符或年度缺值即不得如此判定。</w:t>
            </w:r>
          </w:p>
        </w:tc>
        <w:tc>
          <w:tcPr>
            <w:tcW w:type="dxa" w:w="3335"/>
            <w:vAlign w:val="center"/>
            <w:tcMar>
              <w:top w:w="25" w:type="dxa"/>
              <w:bottom w:w="25" w:type="dxa"/>
              <w:start w:w="6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[年度範圍／逐年值／統計口徑]</w:t>
            </w:r>
          </w:p>
        </w:tc>
      </w:tr>
      <w:tr>
        <w:trPr>
          <w:cantSplit/>
        </w:trPr>
        <w:tc>
          <w:tcPr>
            <w:tcW w:type="dxa" w:w="3335"/>
            <w:vAlign w:val="center"/>
            <w:shd w:fill="F2F6FA"/>
            <w:tcMar>
              <w:top w:w="25" w:type="dxa"/>
              <w:bottom w:w="25" w:type="dxa"/>
              <w:start w:w="6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跨年與重複計次</w:t>
            </w:r>
          </w:p>
        </w:tc>
        <w:tc>
          <w:tcPr>
            <w:tcW w:type="dxa" w:w="3335"/>
            <w:vAlign w:val="center"/>
            <w:shd w:fill="F2F6FA"/>
            <w:tcMar>
              <w:top w:w="25" w:type="dxa"/>
              <w:bottom w:w="25" w:type="dxa"/>
              <w:start w:w="6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班次以核定班次識別碼去重；參訓人次依實際出席計次，同一人跨不同班次可重複，取消／合併／跨年課程依核定口徑處理。</w:t>
            </w:r>
          </w:p>
        </w:tc>
        <w:tc>
          <w:tcPr>
            <w:tcW w:type="dxa" w:w="3335"/>
            <w:vAlign w:val="center"/>
            <w:shd w:fill="F2F6FA"/>
            <w:tcMar>
              <w:top w:w="25" w:type="dxa"/>
              <w:bottom w:w="25" w:type="dxa"/>
              <w:start w:w="6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[納入／排除清單及理由]</w:t>
            </w:r>
          </w:p>
        </w:tc>
      </w:tr>
      <w:tr>
        <w:trPr>
          <w:cantSplit/>
        </w:trPr>
        <w:tc>
          <w:tcPr>
            <w:tcW w:type="dxa" w:w="3335"/>
            <w:vAlign w:val="center"/>
            <w:tcMar>
              <w:top w:w="25" w:type="dxa"/>
              <w:bottom w:w="25" w:type="dxa"/>
              <w:start w:w="6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結論限制</w:t>
            </w:r>
          </w:p>
        </w:tc>
        <w:tc>
          <w:tcPr>
            <w:tcW w:type="dxa" w:w="3335"/>
            <w:vAlign w:val="center"/>
            <w:tcMar>
              <w:top w:w="25" w:type="dxa"/>
              <w:bottom w:w="25" w:type="dxa"/>
              <w:start w:w="6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t>記錄需求、資源、停辦及口徑變動；不逕稱成長原因。</w:t>
            </w:r>
          </w:p>
        </w:tc>
        <w:tc>
          <w:tcPr>
            <w:tcW w:type="dxa" w:w="3335"/>
            <w:vAlign w:val="center"/>
            <w:tcMar>
              <w:top w:w="25" w:type="dxa"/>
              <w:bottom w:w="25" w:type="dxa"/>
              <w:start w:w="6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[分析與改善決定待填]</w:t>
            </w:r>
          </w:p>
        </w:tc>
      </w:tr>
    </w:tbl>
    <w:p>
      <w:pPr>
        <w:pStyle w:val="Heading2"/>
        <w:keepNext/>
        <w:keepLines/>
        <w:spacing w:before="40" w:after="0"/>
      </w:pPr>
      <w:r>
        <w:rPr>
          <w:rFonts w:ascii="Microsoft JhengHei" w:hAnsi="Microsoft JhengHei" w:eastAsia="Microsoft JhengHei"/>
          <w:b/>
          <w:color w:val="245A81"/>
          <w:sz w:val="24"/>
        </w:rPr>
        <w:t>填寫確認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2880"/>
            <w:vAlign w:val="center"/>
            <w:shd w:fill="DCEAF5"/>
            <w:tcMar>
              <w:top w:w="0" w:type="dxa"/>
              <w:start w:w="60" w:type="dxa"/>
              <w:bottom w:w="0" w:type="dxa"/>
              <w:end w:w="60" w:type="dxa"/>
            </w:tcMar>
          </w:tcPr>
          <w:p>
            <w:pPr>
              <w:keepNext/>
              <w:keepLines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承辦人／日期</w:t>
            </w:r>
          </w:p>
        </w:tc>
        <w:tc>
          <w:tcPr>
            <w:tcW w:type="dxa" w:w="2880"/>
            <w:vAlign w:val="center"/>
            <w:shd w:fill="DCEAF5"/>
            <w:tcMar>
              <w:top w:w="0" w:type="dxa"/>
              <w:start w:w="60" w:type="dxa"/>
              <w:bottom w:w="0" w:type="dxa"/>
              <w:end w:w="60" w:type="dxa"/>
            </w:tcMar>
          </w:tcPr>
          <w:p>
            <w:pPr>
              <w:keepNext/>
              <w:keepLines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覆核人／日期</w:t>
            </w:r>
          </w:p>
        </w:tc>
        <w:tc>
          <w:tcPr>
            <w:tcW w:type="dxa" w:w="4248"/>
            <w:vAlign w:val="center"/>
            <w:shd w:fill="DCEAF5"/>
            <w:tcMar>
              <w:top w:w="0" w:type="dxa"/>
              <w:start w:w="60" w:type="dxa"/>
              <w:bottom w:w="0" w:type="dxa"/>
              <w:end w:w="60" w:type="dxa"/>
            </w:tcMar>
          </w:tcPr>
          <w:p>
            <w:pPr>
              <w:keepNext/>
              <w:keepLines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資料缺漏及後續處理</w:t>
            </w:r>
          </w:p>
        </w:tc>
      </w:tr>
      <w:tr>
        <w:trPr/>
        <w:tc>
          <w:tcPr>
            <w:tcW w:type="dxa" w:w="2880"/>
            <w:vAlign w:val="center"/>
            <w:tcMar>
              <w:top w:w="0" w:type="dxa"/>
              <w:start w:w="60" w:type="dxa"/>
              <w:bottom w:w="0" w:type="dxa"/>
              <w:end w:w="60" w:type="dxa"/>
            </w:tcMar>
          </w:tcPr>
          <w:p>
            <w:pPr>
              <w:keepLines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[待實際填寫]</w:t>
            </w:r>
          </w:p>
        </w:tc>
        <w:tc>
          <w:tcPr>
            <w:tcW w:type="dxa" w:w="2880"/>
            <w:vAlign w:val="center"/>
            <w:tcMar>
              <w:top w:w="0" w:type="dxa"/>
              <w:start w:w="60" w:type="dxa"/>
              <w:bottom w:w="0" w:type="dxa"/>
              <w:end w:w="60" w:type="dxa"/>
            </w:tcMar>
          </w:tcPr>
          <w:p>
            <w:pPr>
              <w:keepLines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[待實際填寫]</w:t>
            </w:r>
          </w:p>
        </w:tc>
        <w:tc>
          <w:tcPr>
            <w:tcW w:type="dxa" w:w="4248"/>
            <w:vAlign w:val="center"/>
            <w:tcMar>
              <w:top w:w="0" w:type="dxa"/>
              <w:start w:w="60" w:type="dxa"/>
              <w:bottom w:w="0" w:type="dxa"/>
              <w:end w:w="60" w:type="dxa"/>
            </w:tcMar>
          </w:tcPr>
          <w:p>
            <w:pPr>
              <w:keepLines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[待補資料／責任角色／期限]</w:t>
            </w:r>
          </w:p>
        </w:tc>
      </w:tr>
      <w:tr>
        <w:trPr/>
        <w:tc>
          <w:tcPr>
            <w:tcW w:type="dxa" w:w="2880"/>
            <w:vAlign w:val="center"/>
            <w:tcMar>
              <w:top w:w="0" w:type="dxa"/>
              <w:start w:w="60" w:type="dxa"/>
              <w:bottom w:w="0" w:type="dxa"/>
              <w:end w:w="60" w:type="dxa"/>
            </w:tcMar>
          </w:tcPr>
          <w:p>
            <w:pPr>
              <w:keepLines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資料完整性：□完整 □待補</w:t>
            </w:r>
          </w:p>
        </w:tc>
        <w:tc>
          <w:tcPr>
            <w:tcW w:type="dxa" w:w="2880"/>
            <w:vAlign w:val="center"/>
            <w:tcMar>
              <w:top w:w="0" w:type="dxa"/>
              <w:start w:w="60" w:type="dxa"/>
              <w:bottom w:w="0" w:type="dxa"/>
              <w:end w:w="60" w:type="dxa"/>
            </w:tcMar>
          </w:tcPr>
          <w:p>
            <w:pPr>
              <w:keepLines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授權狀態：□已核 □待核 □不適用</w:t>
            </w:r>
          </w:p>
        </w:tc>
        <w:tc>
          <w:tcPr>
            <w:tcW w:type="dxa" w:w="4248"/>
            <w:vAlign w:val="center"/>
            <w:tcMar>
              <w:top w:w="0" w:type="dxa"/>
              <w:start w:w="60" w:type="dxa"/>
              <w:bottom w:w="0" w:type="dxa"/>
              <w:end w:w="60" w:type="dxa"/>
            </w:tcMar>
          </w:tcPr>
          <w:p>
            <w:pPr>
              <w:keepLines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keepNext w:val="0"/>
        <w:pageBreakBefore w:val="0"/>
        <w:spacing w:after="0" w:before="0" w:line="20" w:lineRule="exact"/>
      </w:pPr>
      <w:r>
        <w:rPr>
          <w:sz w:val="2"/>
        </w:rPr>
        <w:t xml:space="preserve"> </w:t>
      </w:r>
    </w:p>
    <w:p>
      <w:pPr>
        <w:pStyle w:val="Heading1"/>
        <w:keepNext/>
        <w:keepLines/>
      </w:pPr>
      <w:r>
        <w:t>資料血緣、比較基準與結果可信度</w:t>
      </w:r>
    </w:p>
    <w:p>
      <w:pPr>
        <w:keepLines/>
        <w:spacing w:after="100"/>
      </w:pPr>
      <w:r>
        <w:t>每一年度班次與人次須可由原始底冊重算，並使用一致的納入、取消、合併與跨年口徑。未取得歷年清冊、簽到及核定課程來源前，不得宣稱持續成長。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20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年度／指標</w:t>
            </w:r>
          </w:p>
        </w:tc>
        <w:tc>
          <w:tcPr>
            <w:tcW w:type="dxa" w:w="20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來源原件與資料欄位</w:t>
            </w:r>
          </w:p>
        </w:tc>
        <w:tc>
          <w:tcPr>
            <w:tcW w:type="dxa" w:w="20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納入／排除及去重規則</w:t>
            </w:r>
          </w:p>
        </w:tc>
        <w:tc>
          <w:tcPr>
            <w:tcW w:type="dxa" w:w="20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核對人／日期</w:t>
            </w:r>
          </w:p>
        </w:tc>
        <w:tc>
          <w:tcPr>
            <w:tcW w:type="dxa" w:w="20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計算檔／結果位置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20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[年度；訓練班次]</w:t>
            </w:r>
          </w:p>
        </w:tc>
        <w:tc>
          <w:tcPr>
            <w:tcW w:type="dxa" w:w="20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[核定課程、班次ID及實際辦理紀錄]</w:t>
            </w:r>
          </w:p>
        </w:tc>
        <w:tc>
          <w:tcPr>
            <w:tcW w:type="dxa" w:w="20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[取消／合併／重開與跨年處理]</w:t>
            </w:r>
          </w:p>
        </w:tc>
        <w:tc>
          <w:tcPr>
            <w:tcW w:type="dxa" w:w="20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[待填]</w:t>
            </w:r>
          </w:p>
        </w:tc>
        <w:tc>
          <w:tcPr>
            <w:tcW w:type="dxa" w:w="20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[待補]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200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[年度；參訓人次]</w:t>
            </w:r>
          </w:p>
        </w:tc>
        <w:tc>
          <w:tcPr>
            <w:tcW w:type="dxa" w:w="200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[簽到／出席／結訓原件]</w:t>
            </w:r>
          </w:p>
        </w:tc>
        <w:tc>
          <w:tcPr>
            <w:tcW w:type="dxa" w:w="200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[出席定義、重複計次口徑]</w:t>
            </w:r>
          </w:p>
        </w:tc>
        <w:tc>
          <w:tcPr>
            <w:tcW w:type="dxa" w:w="200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[待填]</w:t>
            </w:r>
          </w:p>
        </w:tc>
        <w:tc>
          <w:tcPr>
            <w:tcW w:type="dxa" w:w="200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[待補]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20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比較項</w:t>
            </w:r>
          </w:p>
        </w:tc>
        <w:tc>
          <w:tcPr>
            <w:tcW w:type="dxa" w:w="20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基準期間／組</w:t>
            </w:r>
          </w:p>
        </w:tc>
        <w:tc>
          <w:tcPr>
            <w:tcW w:type="dxa" w:w="20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比較期間／組</w:t>
            </w:r>
          </w:p>
        </w:tc>
        <w:tc>
          <w:tcPr>
            <w:tcW w:type="dxa" w:w="20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可比性與外部因素</w:t>
            </w:r>
          </w:p>
        </w:tc>
        <w:tc>
          <w:tcPr>
            <w:tcW w:type="dxa" w:w="20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判讀／證據位置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20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班次趨勢</w:t>
            </w:r>
          </w:p>
        </w:tc>
        <w:tc>
          <w:tcPr>
            <w:tcW w:type="dxa" w:w="20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[連續年度與口徑]</w:t>
            </w:r>
          </w:p>
        </w:tc>
        <w:tc>
          <w:tcPr>
            <w:tcW w:type="dxa" w:w="20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[逐年值待補]</w:t>
            </w:r>
          </w:p>
        </w:tc>
        <w:tc>
          <w:tcPr>
            <w:tcW w:type="dxa" w:w="20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[課程範圍、停辦、資源或口徑變動]</w:t>
            </w:r>
          </w:p>
        </w:tc>
        <w:tc>
          <w:tcPr>
            <w:tcW w:type="dxa" w:w="20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[待判；不以單年高點稱持續成長]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200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參訓人次趨勢</w:t>
            </w:r>
          </w:p>
        </w:tc>
        <w:tc>
          <w:tcPr>
            <w:tcW w:type="dxa" w:w="200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[連續年度與分母口徑]</w:t>
            </w:r>
          </w:p>
        </w:tc>
        <w:tc>
          <w:tcPr>
            <w:tcW w:type="dxa" w:w="200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[逐年值待補]</w:t>
            </w:r>
          </w:p>
        </w:tc>
        <w:tc>
          <w:tcPr>
            <w:tcW w:type="dxa" w:w="200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[班次、出席及重複計次影響]</w:t>
            </w:r>
          </w:p>
        </w:tc>
        <w:tc>
          <w:tcPr>
            <w:tcW w:type="dxa" w:w="200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[待判；待來源與覆核]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5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交叉驗證／適用性</w:t>
            </w:r>
          </w:p>
        </w:tc>
        <w:tc>
          <w:tcPr>
            <w:tcW w:type="dxa" w:w="25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對照來源或文件ID</w:t>
            </w:r>
          </w:p>
        </w:tc>
        <w:tc>
          <w:tcPr>
            <w:tcW w:type="dxa" w:w="25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結果／差異處理</w:t>
            </w:r>
          </w:p>
        </w:tc>
        <w:tc>
          <w:tcPr>
            <w:tcW w:type="dxa" w:w="25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決定與下次驗證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5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訓練執行與出席</w:t>
            </w:r>
          </w:p>
        </w:tc>
        <w:tc>
          <w:tcPr>
            <w:tcW w:type="dxa" w:w="25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[I15結案、簽到、班次底冊；填實際文件ID]</w:t>
            </w:r>
          </w:p>
        </w:tc>
        <w:tc>
          <w:tcPr>
            <w:tcW w:type="dxa" w:w="25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[班次／人次逐年對帳]</w:t>
            </w:r>
          </w:p>
        </w:tc>
        <w:tc>
          <w:tcPr>
            <w:tcW w:type="dxa" w:w="25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[待填]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50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訓後個案成果</w:t>
            </w:r>
          </w:p>
        </w:tc>
        <w:tc>
          <w:tcPr>
            <w:tcW w:type="dxa" w:w="250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不屬I19-E22的班次／人次核心指標；個案分析由相應個案文件承接。</w:t>
            </w:r>
          </w:p>
        </w:tc>
        <w:tc>
          <w:tcPr>
            <w:tcW w:type="dxa" w:w="250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不將個案資料重複計入年度人次；無相關資料時註明不適用。</w:t>
            </w:r>
          </w:p>
        </w:tc>
        <w:tc>
          <w:tcPr>
            <w:tcW w:type="dxa" w:w="250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[不適用理由／引用文件待填]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5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17／18／19資料一致性</w:t>
            </w:r>
          </w:p>
        </w:tc>
        <w:tc>
          <w:tcPr>
            <w:tcW w:type="dxa" w:w="25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[引用相應評量與成果文件ID；不複製個案事實]</w:t>
            </w:r>
          </w:p>
        </w:tc>
        <w:tc>
          <w:tcPr>
            <w:tcW w:type="dxa" w:w="25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[同期間、母體與定義核對；無法比對則說明]</w:t>
            </w:r>
          </w:p>
        </w:tc>
        <w:tc>
          <w:tcPr>
            <w:tcW w:type="dxa" w:w="25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[待填]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5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證據來源型態</w:t>
            </w:r>
          </w:p>
        </w:tc>
        <w:tc>
          <w:tcPr>
            <w:tcW w:type="dxa" w:w="25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現有來源狀態</w:t>
            </w:r>
          </w:p>
        </w:tc>
        <w:tc>
          <w:tcPr>
            <w:tcW w:type="dxa" w:w="25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可支持的結論</w:t>
            </w:r>
          </w:p>
        </w:tc>
        <w:tc>
          <w:tcPr>
            <w:tcW w:type="dxa" w:w="25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限制／需補強資料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5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核定班次與實際出席原件</w:t>
            </w:r>
          </w:p>
        </w:tc>
        <w:tc>
          <w:tcPr>
            <w:tcW w:type="dxa" w:w="25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[目前來源狀態待確認]</w:t>
            </w:r>
          </w:p>
        </w:tc>
        <w:tc>
          <w:tcPr>
            <w:tcW w:type="dxa" w:w="25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[僅在底冊完成核對後填入]</w:t>
            </w:r>
          </w:p>
        </w:tc>
        <w:tc>
          <w:tcPr>
            <w:tcW w:type="dxa" w:w="25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[待補檔名、期間、覆核與授權]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50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彙整計算與圖表</w:t>
            </w:r>
          </w:p>
        </w:tc>
        <w:tc>
          <w:tcPr>
            <w:tcW w:type="dxa" w:w="250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[取得底冊後生成]</w:t>
            </w:r>
          </w:p>
        </w:tc>
        <w:tc>
          <w:tcPr>
            <w:tcW w:type="dxa" w:w="250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[列分子、分母與增幅]</w:t>
            </w:r>
          </w:p>
        </w:tc>
        <w:tc>
          <w:tcPr>
            <w:tcW w:type="dxa" w:w="250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[重算規則、版本與計算人]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5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外部或跨文件核對</w:t>
            </w:r>
          </w:p>
        </w:tc>
        <w:tc>
          <w:tcPr>
            <w:tcW w:type="dxa" w:w="25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[依實際可用資料]</w:t>
            </w:r>
          </w:p>
        </w:tc>
        <w:tc>
          <w:tcPr>
            <w:tcW w:type="dxa" w:w="25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[僅限核對範圍內]</w:t>
            </w:r>
          </w:p>
        </w:tc>
        <w:tc>
          <w:tcPr>
            <w:tcW w:type="dxa" w:w="25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[不得推定關聯或因果]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年度訓練班次與參訓人次趨勢表</dc:title>
  <dc:subject>TTQS指標19成果佐證工作稿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