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訓練結果評估、實施依據與標準作業流程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訓練辦理與評估 SOP（核定前草案）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shd w:fill="FFF2CC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5004"/>
            <w:vAlign w:val="center"/>
            <w:shd w:fill="DCEAF5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訓練結果的評估、訓練實施的依據及標準化作業流程（SOP）。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 Plan、Design、Do、Review、Outcome 五段流程準備、執行、評估與改善。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先看流程表、開課前檢核、評估紀錄及待核定欄。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實際核定課程、課程日期、師資、學員、出勤、評量、回饋與成果資料。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一、目的與適用範圍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程序規範協會規劃及辦理健康教育、傳統整復推拿技術或依需求發展之其他訓練時，如何確認依據、設計教學、實施、評估及改善。僅適用於經協會依權責核定的正式訓練；一般關懷活動或未設定學習目標的活動，不以訓練成果呈現。</w:t>
      </w: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二、作業流程與責任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作業要求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輸出與紀錄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Plan 計畫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確認需求、目標對象、學習目的、法規與資源；提出課程及成果指標。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需求分析、課程提案、資源與風險檢核。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承辦人／審查者／核定者：[待指派]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Design 設計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把能力目標轉成單元、方法、教材、師資、評量及結訓規則。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課程規劃書、教案、評量工具、審查與修訂。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課程設計者／專業審查者：[待指派]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Do 執行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開課前確認核定、師資、學員、場地、器材、安全與資料告知；按核定方案實施。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招生資訊、出勤、授課日誌、評量、異常及變更紀錄。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教務／講師／安全承辦：[待指派]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Review 查核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檢查課程是否依方案執行；分析回饋、學習評量、缺課、異常與申訴。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結訓檢核、課程檢討、差異及改善紀錄。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評估者／複核者：[待指派]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Outcome 成果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依目的追蹤所學是否應用及對學員、客戶或協會的貢獻。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追蹤資料、成果分析及下一輪改善決定。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追蹤承辦／核定者：[待指派]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三、開課前必備檢核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檢核問題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核定方案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課程名稱、目標、時數、招生資訊是否與現行核定版相同？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師資與教材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授課資格、教材版本、來源及授權是否完成確認？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場地與設備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場地、器材、衛生、安全及緊急聯絡安排是否可用？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學員與告知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錄取條件、出席方式、評量、資料使用及申訴方式是否已說明？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實作安全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非醫療界線、停止條件、現場監督及轉介方式是否明確？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資料與表單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簽到、評量、回饋及異常表單是否為現行版本？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四、訓練結果評估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評估面向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可採方法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填寫規則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學員反應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課後回饋、訪談或焦點討論。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列有效樣本、題目版本、意見分布與限制。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課前後測、實作觀察、口頭說明或作品檢核。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評量須連到學習目標，保存規準及原始結果。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行為／應用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依核定追蹤時間，詢問是否在工作或服務中應用。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只有取得實際追蹤資料後填寫，註明未回覆與偏差。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成果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與課程目的相關的學員、客戶或協會成果。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分清訓練產出與長期結果，不將關聯直接說成因果。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評估門檻與追蹤期間目前尚未核定；由協會依課程目標、適用規範與資源決定後，寫入課程核定版。未設定或未取得的數據不填估計值。</w:t>
      </w:r>
    </w:p>
    <w:p>
      <w:pPr>
        <w:pStyle w:val="Heading1"/>
        <w:keepNext/>
        <w:keepLines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五、偏差、異常與改善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與核定方案不同時，記錄變更原因、影響、告知對象及核准方式。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涉及人身安全或超出非醫療範圍時，先停止相關活動並依核定應變程序處理。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評估未達預定目標時，分析原因及資料限制，提出責任人、期限、驗證方式與是否重開課程。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每次改善均保留原始資料與修訂版本，不倒填或補造紀錄。</w:t>
      </w:r>
    </w:p>
    <w:p>
      <w:pPr>
        <w:pStyle w:val="Heading1"/>
        <w:keepNext/>
        <w:keepLines/>
        <w:pageBreakBefore w:val="0"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六、必要紀錄清單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紀錄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產生時點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保存要點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需求分析與課程規劃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提案及核定前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保留來源、日期、版本與審查結果。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師資、教材、場地與安全檢核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開課前及異動時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資料限權存取，保留資格查驗與異動依據。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招生、學員、出勤及評量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辦理期間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僅記錄必要資訊，維持可追溯與資料保護。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回饋、結訓分析與追蹤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課後及核定追蹤期間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註明樣本數、缺失、計算方式與資料限制。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改善及再審查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發現差異或定期檢討時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連結問題、措施、責任、期限及驗證結果。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操作工具補充｜訓練實施與評估決策記錄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本節把原有 Plan、Design、Do、Review、Outcome 五階段落到可判斷的檢核點。表內角色、門檻與時限須依權責核定後填入；沒有核定依據前，不得把待填值當成協會現行標準。</w:t>
      </w:r>
    </w:p>
    <w:p>
      <w:pPr>
        <w:keepNext/>
        <w:keepLines/>
        <w:spacing w:before="80" w:after="60"/>
      </w:pPr>
      <w:r>
        <w:rPr>
          <w:rFonts w:ascii="Microsoft JhengHei" w:hAnsi="Microsoft JhengHei" w:eastAsia="Microsoft JhengHei"/>
          <w:b/>
          <w:color w:val="1F4E79"/>
          <w:sz w:val="21"/>
        </w:rPr>
        <w:t>開課放行與例外處理流程圖（可編輯示意）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4536"/>
            <w:gridSpan w:val="2"/>
            <w:vAlign w:val="center"/>
            <w:shd w:fill="EAF1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開始 → 核對需求、訓練目標與依據 → 檢查課程設計、師資、教材、場地及安全</w:t>
            </w:r>
          </w:p>
        </w:tc>
      </w:tr>
      <w:tr>
        <w:trPr>
          <w:cantSplit/>
        </w:trPr>
        <w:tc>
          <w:tcPr>
            <w:tcW w:type="dxa" w:w="4536"/>
            <w:gridSpan w:val="2"/>
            <w:vAlign w:val="center"/>
            <w:shd w:fill="FFF2C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◇ 是否符合核定條件且安全？（未核定／未符合／超出非醫療範圍時，不得逕行放行）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E2F0D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19"/>
              </w:rPr>
              <w:t>是 → 按核定方案實施 → 評量／追蹤 → 分析結果 → 決定改善與複查 → 留存證據</w:t>
            </w:r>
          </w:p>
        </w:tc>
        <w:tc>
          <w:tcPr>
            <w:tcW w:type="dxa" w:w="4536"/>
            <w:vAlign w:val="center"/>
            <w:shd w:fill="FCE4D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19"/>
              </w:rPr>
              <w:t>否 → 停止／暫停 → 記錄原因、影響與暫行處置 → 補正或提出核定變更 → 重新複核；仍不符合則延期／取消</w:t>
            </w:r>
          </w:p>
        </w:tc>
      </w:tr>
      <w:tr>
        <w:trPr>
          <w:cantSplit/>
        </w:trPr>
        <w:tc>
          <w:tcPr>
            <w:tcW w:type="dxa" w:w="4536"/>
            <w:gridSpan w:val="2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兩路徑共通紀錄：核定版本、開課檢核、通知／變更、異常處置、評量、改善及證據位置。</w:t>
            </w:r>
          </w:p>
        </w:tc>
      </w:tr>
    </w:tbl>
    <w:p>
      <w:pPr>
        <w:pStyle w:val="Heading2"/>
        <w:keepNext/>
        <w:keepLines/>
      </w:pPr>
      <w:r>
        <w:t>1. 開始／停止決策點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承辦人要核對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可往下進行的條件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未符合時怎麼辦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留下的紀錄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需求與適用範圍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訓練對象、需求來源、課程目的是否可查；是否屬協會健康教育、傳統整復推拿技術或經核定的多元課程。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需求來源可回查，目的與對象明確，且未超出非醫療教育界線。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退回補件；與任務無關或含未核實療效宣稱時停止提案並請權責人確認。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需求來源、適用判斷、退補原因與日期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課程設計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目標、單元、教法、教材、師資、評量是否互相對應。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每一目標均有教學安排與可核對的評量方法；必要資源及授權已查。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補設計或重新審查；不得先招生或把未核定內容列為正式課程。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課程規劃版本、審查意見及修訂差異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開課放行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核定方案、師資、學員告知、場地設備、安全、表單版本是否齊備。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適用檢核項目均已完成，未完成項有權責核可的處置且不影響安全或合法性。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安全、資格或必要核定未完成即不開課；其他缺件先列責任與期限並取得權責判斷。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開課前檢核表、決定人、日期及附件索引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執行變更／異常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實際進度是否偏離核定方案；是否出現事故、申訴或非醫療界線疑慮。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變更經權責確認且已告知受影響對象；異常處置有紀錄。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安全疑慮先停止相關活動；依核定應變程序通報、保護資料並評估是否復課。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變更／異常紀錄、影響、處置、復查及核准依據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結訓與改善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出勤、評量、回饋、追蹤和原始資料是否完整可回查。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結果依事前口徑分析，限制、缺值、未回覆均揭露，改善有責任與驗證方式。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資料不足則列為尚無法判定，不補造結果；安排補件或下一次驗證。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結訓分析、改善追蹤及版本索引</w:t>
            </w:r>
          </w:p>
        </w:tc>
      </w:tr>
    </w:tbl>
    <w:p>
      <w:pPr>
        <w:pStyle w:val="Heading2"/>
        <w:keepNext/>
        <w:keepLines/>
      </w:pPr>
      <w:r>
        <w:t>2. 偏差、例外與停辦紀錄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案件／日期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偏差或例外事實與原方案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安全／品質／權益影響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暫行措施與決策依據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責任／期限／復查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[列出差異，不覆寫原方案]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[待分析；涉及安全先停]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[待填權責人、依據與是否復課]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3. 可重算的過程指標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計算方式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適用範圍／零分母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結果欄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核定目標／資料位置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開課前檢核完成率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完成且有證據的適用項目數 ÷ 全部適用項目數 × 100%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排除有理由的不適用項；分母為0時填不適用並說明。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目標待核定；附檢核表版本／位置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變更追蹤完成率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已完成並覆核的到期變更／改善事項數 ÷ 到期事項總數 × 100%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尚未到期者不列入；分母為0時填不適用。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目標待核定；附追蹤清單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有效回覆率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有效回覆數 ÷ 到期且適格的受邀對象數 × 100%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拒答、失聯及無效回覆分開列；分母為0時填不適用。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期間與題目版本待填；附原始彙整表</w:t>
            </w:r>
          </w:p>
        </w:tc>
      </w:tr>
    </w:tbl>
    <w:p>
      <w:pPr>
        <w:pStyle w:val="Heading2"/>
        <w:keepNext/>
        <w:keepLines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對應查核項目：訓練結果的評估、訓練實施的依據及標準化作業流程（SOP）。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pPr>
        <w:pStyle w:val="Heading1"/>
        <w:keepNext/>
        <w:keepLines/>
      </w:pPr>
      <w:r>
        <w:t>角色責任矩陣（RACI；待核定）</w:t>
      </w:r>
    </w:p>
    <w:p>
      <w:pPr>
        <w:keepNext/>
        <w:keepLines/>
        <w:spacing w:after="100"/>
      </w:pPr>
      <w:r>
        <w:t>下列是職能分工提案，不代表目前已指派人員或核定權責。正式使用前由協會依實際組織確認每一作業至少有一個負責（R）及一個最終負責（A），並填核定版本。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作業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課程承辦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課程／教學負責角色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評估／覆核角色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權責核定者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需求與課程提案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課程設計與評量規劃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開課前安全與資料檢核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課程實施與異常通報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結果分析與資料限制判讀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改善措施與效果複查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RACI代碼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本稿定義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核定／備註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 負責執行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實際完成該項作業並形成紀錄的角色。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[待指派；同一任務可多位R]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 最終負責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對作業完成及決定負最終責任的權責角色。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[待核定；每列一位A]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 諮詢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在決定前提供必要專業或使用意見。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[依實際流程核定]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I 知會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需要接收結果或變更資訊的角色。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[依實際流程核定]</w:t>
            </w:r>
          </w:p>
        </w:tc>
      </w:tr>
    </w:tbl>
    <w:p>
      <w:pPr>
        <w:pStyle w:val="Heading2"/>
        <w:keepNext/>
        <w:keepLines/>
      </w:pPr>
      <w:r>
        <w:t>流程時效與異常結案指標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定義與公式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結果欄／資料來源／覆核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流程準時率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期限內完成且有證據的到期流程件數 ÷ 本期到期流程件數 × 100%；分母0列不適用。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[待計算；列期間、母數、步驟及來源]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異常結案率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已完成處置且經驗證結案的異常件數 ÷ 本期應處理異常總件數 × 100%；無異常時列不適用，不以100%呈現。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[待計算；列異常ID、驗證與覆核位置]</w:t>
            </w:r>
          </w:p>
        </w:tc>
      </w:tr>
    </w:tbl>
    <w:p>
      <w:pPr>
        <w:keepLines/>
        <w:spacing w:after="100"/>
      </w:pPr>
      <w:r>
        <w:t>KPI目標、統計期間與權責角色尚待協會核定；本表未填實績或承諾值。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訓練結果評估、實施依據與標準作業流程</dc:title>
  <dc:subject>訓練結果的評估、訓練實施的依據及標準化作業流程（SOP）。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