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學員及結訓學員意見納入課程規劃流程與紀錄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I11-E04｜指標 11｜草案：待確認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呈現課程規劃依在訓及結訓學員意見訂定並留存完整流程。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從意見來源追溯到分析、採納決定、課程版本與審查證據；目前欄位皆待實際資料。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規劃課程依學員及結訓學員意見訂定訓練課程，且流程有完整紀錄。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一、意見納入課程規劃流程（工作稿）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5328"/>
        <w:gridCol w:w="3442"/>
      </w:tblGrid>
      <w:tr>
        <w:trPr>
          <w:tblHeader w:val="true"/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步驟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作業重點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應保存紀錄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蒐集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分開辨識在訓學員及結訓學員；註明資料期間、方法、同意與匿名方式。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問卷、訪談或交流原件及樣本說明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 整理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保留原意；按主題分類，記錄有效筆數及未回覆／無效資料處理。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彙整表、統計口徑與缺漏說明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 判讀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區分共同需求、個別建議、職能差距及尚待查證事項。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需求分析與限制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 回應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將需求連結到課程目標、單元、教法或評量；未採納者說明理由。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意見—決定—課程版本追溯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 審查保存</w:t>
            </w:r>
          </w:p>
        </w:tc>
        <w:tc>
          <w:tcPr>
            <w:tcW w:type="dxa" w:w="53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依本會核定程序審查、記錄修訂、核定版本、日期及附件位置。</w:t>
            </w:r>
          </w:p>
        </w:tc>
        <w:tc>
          <w:tcPr>
            <w:tcW w:type="dxa" w:w="344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審查／核定紀錄與版本索引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二、學員與結訓學員意見紀錄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1944"/>
        <w:gridCol w:w="2477"/>
        <w:gridCol w:w="1656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來源／期間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原始意見摘要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需求／職能連結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課程回應與理由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附件位置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[待填：保留原意]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[待填：保留原意]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[待填：保留原意]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三、課程規劃追溯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232"/>
        <w:gridCol w:w="2880"/>
        <w:gridCol w:w="2088"/>
        <w:gridCol w:w="1541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意見編號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課程目標／單元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採納狀態與理由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修訂版／審查人</w:t>
            </w:r>
          </w:p>
        </w:tc>
        <w:tc>
          <w:tcPr>
            <w:tcW w:type="dxa" w:w="15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15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15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課程可依健康教育、傳統整復推拿技術及實際市場需求規劃；每一項課程仍須以實際需求資料為依據並完成本會審議核定。</w:t>
      </w:r>
    </w:p>
    <w:p>
      <w:pPr>
        <w:pStyle w:val="Heading1"/>
        <w:keepNext/>
        <w:keepLines/>
        <w:pageBreakBefore/>
      </w:pPr>
      <w:r>
        <w:t>操作工具補充｜學員意見至課程版次追溯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本件只承接在訓與結訓學員意見如何成為課程規劃依據。實際問卷、訪談、回覆與採納決定須有原件；本節是可填工具，不是已發生的意見或修訂紀錄。</w:t>
      </w:r>
    </w:p>
    <w:p>
      <w:pPr>
        <w:pStyle w:val="Heading2"/>
        <w:keepNext/>
        <w:keepLines/>
      </w:pPr>
      <w:r>
        <w:t>1. 意見來源與資料品質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意見ID／對象類別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期間／方式／題目版次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適格母體／已邀請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有效回覆／未回覆／排除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來源位置／同意與去識別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[待填：在訓／結訓]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[待填數及理由]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[檔名、日期、保管位置]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2. 意見—需求—課程修訂追溯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意見ID／原意摘要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需求或能力差距判讀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課程目標／單元／評量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決定與採納／未採納理由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版次／責任／證據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[待填；不改寫成不存在的原話]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[待分析並註明限制]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[待審查]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[待核定版次及索引]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3. 可重算指標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計算方式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零分母／限制處理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有效意見回覆率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有效且符合條件的回覆數 ÷ 適格且已到期的受邀人數 × 100%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分母0為不適用；未回、拒答、聯絡失敗分列。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意見追溯完整率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已記錄來源、需求判讀、課程回應、決定理由、版次及證據的意見筆數 ÷ 已納入判讀的適用意見筆數 × 100%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未決意見另列；分母0為不適用。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決定採納比例（選填）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已採納筆數 ÷ 已作成決定的意見筆數 × 100%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未決不納入；此比例不作為課程品質單獨判定。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</w:tbl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每次課程修訂另保留舊版／新版差異、決策依據、審查者、核定狀態及生效依據；不得倒填或刪除未採納意見。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