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訓練檔案管理系統工作稿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I14-E02｜指標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呈現訓練檔案分類、建檔、權限、檢索、版本與持續改善方式。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先核定分類與權限，再依真實資料建檔；用調閱及還原測試驗證系統功能。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訓練檔案管理系統。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一、系統用途與管理原則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作稿設計一套可追溯、可查找的訓練檔案管理方式，可先以受控資料夾與索引表運作；是否採用專用軟體，依本會實際設備、權限及需求審議決定。健康教育、傳統整復推拿技術或其他依市場需求規劃的課程，均依同一套建檔、保護及調閱原則管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680"/>
        <w:gridCol w:w="370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管理步驟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作業內容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必要控制／紀錄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收件建檔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依課程／案件、文件類別、形成日期與版次登錄。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保留原件、來源、收件日期及承辦角色。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分類保存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依規劃、師資教材、執行、評量、結案、檢討分類。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權限與保存期限依核定設定；不得自行推定年限。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查詢調閱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用課程代碼、年度、文件類型、版次或關鍵字檢索。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個資或敏感資料採必要權限；記錄調閱。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版本維護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新版本保留修訂日期、修訂人、原因及核定狀態。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作廢版標示停用並保留追溯；不得覆蓋原始證據。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5 備份與改善</w:t>
            </w:r>
          </w:p>
        </w:tc>
        <w:tc>
          <w:tcPr>
            <w:tcW w:type="dxa" w:w="46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依核定方式備份，定期抽測搜尋、讀取及還原。</w:t>
            </w:r>
          </w:p>
        </w:tc>
        <w:tc>
          <w:tcPr>
            <w:tcW w:type="dxa" w:w="370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記錄測試條件、耗時、缺漏及改善結果。</w:t>
            </w:r>
          </w:p>
        </w:tc>
      </w:tr>
    </w:tbl>
    <w:p>
      <w:pPr>
        <w:spacing w:after="10" w:line="132" w:lineRule="auto"/>
      </w:pPr>
    </w:p>
    <w:p>
      <w:pPr>
        <w:spacing w:before="0" w:after="0"/>
      </w:pPr>
      <w:r>
        <w:br w:type="page"/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二、檔案角色與權限（待本會核定）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290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建議權限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實際人員／設定狀態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承辦／檔管角色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收件、編碼、登錄、分類、調閱回覆。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[待指派；待設定]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課程負責角色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提交及核對所屬課程資料；不得自行改寫原始證據。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[待指派；待設定]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覆核／核定角色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覆核資料完整性、權限及保存設定。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一般調閱者</w:t>
            </w:r>
          </w:p>
        </w:tc>
        <w:tc>
          <w:tcPr>
            <w:tcW w:type="dxa" w:w="50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依職務與核定權限查閱必要資料。</w:t>
            </w:r>
          </w:p>
        </w:tc>
        <w:tc>
          <w:tcPr>
            <w:tcW w:type="dxa" w:w="29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[待設定；權限測試待做]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三、檔案索引欄位與調閱登錄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6005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索引欄位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登錄值／控制要求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課程／案件識別、年度、指標或流程階段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[待填；以本會核定代碼為準]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文件名稱、文件類別、原件／副本、版次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[待填；版本須可追溯]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形成日期、來源、承辦角色、核定狀態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[依真實原件填寫；無核定者標示待核定]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保存位置、存取權限、保存期限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[待填；依本會核定及適用規定設定]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調閱日期、查詢條件、調閱者、結果</w:t>
            </w:r>
          </w:p>
        </w:tc>
        <w:tc>
          <w:tcPr>
            <w:tcW w:type="dxa" w:w="60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[每次調閱如實登錄]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四、建置與驗收清單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57"/>
        <w:gridCol w:w="4536"/>
      </w:tblGrid>
      <w:tr>
        <w:trPr>
          <w:tblHeader w:val="true"/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驗收項目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分類表與編碼規則已審議核定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[待核定／待填]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人員帳號及權限已依職務設定並測試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[待設定／待測試]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索引可依指定欄位找到正確文件與版本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[實測後填耗時及結果]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備份、還原及作廢版本管理可追溯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[待測試；附紀錄]</w:t>
            </w:r>
          </w:p>
        </w:tc>
      </w:tr>
      <w:tr>
        <w:trPr>
          <w:cantSplit/>
        </w:trPr>
        <w:tc>
          <w:tcPr>
            <w:tcW w:type="dxa" w:w="53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缺失有負責角色、期限、改善及複測證據</w:t>
            </w:r>
          </w:p>
        </w:tc>
        <w:tc>
          <w:tcPr>
            <w:tcW w:type="dxa" w:w="45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[待建立]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</w:pPr>
      <w:r>
        <w:t>操作工具補充｜訓練檔案管理系統需求與驗收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文件是訓練檔案管理系統的功能需求與驗收工作稿，不表示協會已採購、建置、上線或已具備任何未核實功能。技術平台、管理者、權限、保存期限與服務門檻待核定。分類代碼依0060核定版本，個案文件清單依0062操作。</w:t>
      </w:r>
    </w:p>
    <w:p>
      <w:pPr>
        <w:pStyle w:val="Heading2"/>
        <w:keepNext/>
        <w:keepLines/>
      </w:pPr>
      <w:r>
        <w:t>1. 系統功能與驗收條件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模組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必要功能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驗收操作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合格證據／狀態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收件與索引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輸入唯一文件碼、課程／案件ID、文件類型、版本、來源、日期、狀態與證據位置。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新增一個測試檔，檢查必填、重複碼警示及索引結果。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[待選平台及實測]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分類與搜尋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按0060核定代碼及中繼資料分類；能以多欄位檢索並定位正確版次。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以文件碼、班次、類型、日期各做一次查詢，核對命中與權限。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角色與權限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按最小必要權限設定新增、讀取、修改、核定、匯出及刪除／封存。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以不同測試角色驗證允許及拒絕路徑；記錄權限結果。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[權責／工具待核定]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版本與異動軌跡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保留版本、修訂原因、操作人、時間及核定狀態。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修改測試檔後回看舊版與異動紀錄。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[待實測]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備份與還原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依核定頻率備份；可復原檔案及索引並核對一致性。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在測試區執行還原，不碰正式資料；比對測試檔雜湊與索引。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[方式／頻率待核定]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封存與匯出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到期移轉、限制存取、保留法定或核定留存；匯出仍可讀及可追溯。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測試到期狀態、權限變化、匯出與回讀。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[期限／流程待核定]</w:t>
            </w:r>
          </w:p>
        </w:tc>
      </w:tr>
    </w:tbl>
    <w:p>
      <w:pPr>
        <w:pStyle w:val="Heading2"/>
        <w:keepNext/>
        <w:keepLines/>
      </w:pPr>
      <w:r>
        <w:t>2. 權限矩陣（角色與工具均待核定）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cantSplit/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建檔承辦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覆核者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權責主管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系統管理者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核定後權限依據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讀取一般課程文件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[技術管理必要範圍]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讀取含個資文件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[最小必要]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[最小必要]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[按職務核定]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[不得因管理身分任意閱讀]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新增／更版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[不得代替業務核定]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核定／封存／匯出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[限技術操作]</w:t>
            </w:r>
          </w:p>
        </w:tc>
        <w:tc>
          <w:tcPr>
            <w:tcW w:type="dxa" w:w="1668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</w:tbl>
    <w:p>
      <w:pPr>
        <w:pStyle w:val="Heading2"/>
        <w:keepNext/>
        <w:keepLines/>
      </w:pPr>
      <w:r>
        <w:t>3. 驗收測試腳本與缺失追蹤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前置角色／測試資料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操作步驟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預期結果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實際結果／缺失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T01 必填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測試帳號及空白測試檔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缺少文件碼／類型時送出。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阻擋存檔並指出缺欄。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T02 唯一碼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已有一件測試文件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再次輸入同碼。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警示重複並不覆蓋原件。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T03 權限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無權角色帳號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開啟受限文件或嘗試匯出。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拒絕存取並留軌跡。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T04 版本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含兩版測試文件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更版後檢視舊版、修訂說明及核定狀態。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可查舊版且不互相覆蓋。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T05 搜尋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已索引多類測試檔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用文件碼、班次、類型搜尋。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只回傳符合且有權閱讀的版本。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T06 備份還原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隔離測試副本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依測試程序備份後還原並比對。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檔案可讀且內容／索引一致。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T07 異動軌跡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測試操作者帳號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新增、修訂、封存各執行一次。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操作者、時間、前後狀態可查。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T08 匯出回讀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有授權的測試文件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匯出後另開檢查可讀性與版本資訊。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檔案完整、欄位可查且不帶非必要個資。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[待測]</w:t>
            </w:r>
          </w:p>
        </w:tc>
      </w:tr>
    </w:tbl>
    <w:p>
      <w:pPr>
        <w:pStyle w:val="Heading2"/>
        <w:keepNext/>
        <w:keepLines/>
      </w:pPr>
      <w:r>
        <w:t>4. 服務指標、異常與變更管理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指標／事件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定義或處理步驟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目標／結果／紀錄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檢索成功率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成功找到正確、可讀且有權限版本的測試次數 ÷ 有效檢索測試總次數 × 100%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服務目標待核定；每次失敗留查詢條件及處置。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備份還原成功率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成功完成且通過檔案及索引核對的還原測試數 ÷ 應執行還原測試數 × 100%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頻率與目標待核定；測試只在隔離環境。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系統異常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記錄發現時間、影響範圍、資料完整性／保密性、暫行措施、通報、復原、根因及改善。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[事件編號／責任角色／期限／結案證據待填]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系統變更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先評估權限、資料移轉、相容性、備份及回復計畫；核准後測試再上線。</w:t>
            </w:r>
          </w:p>
        </w:tc>
        <w:tc>
          <w:tcPr>
            <w:tcW w:type="dxa" w:w="3336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[變更申請／測試／核定索引待填]</w:t>
            </w:r>
          </w:p>
        </w:tc>
      </w:tr>
    </w:tbl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資料與真實性：本稿依官方查核要求設計，尚須本會依實際制度、資料及權責審議補正。未填資料不表示已有課程、會議、系統、數據、核定或成果。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