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0"/>
      </w:pPr>
      <w:r>
        <w:rPr>
          <w:rFonts w:ascii="Microsoft JhengHei" w:hAnsi="Microsoft JhengHei" w:eastAsia="Microsoft JhengHei"/>
          <w:b/>
          <w:color w:val="183B63"/>
          <w:sz w:val="36"/>
        </w:rPr>
        <w:t>課程評量與學員建議檢討紀錄表</w:t>
      </w:r>
    </w:p>
    <w:p>
      <w:pPr>
        <w:keepNext/>
        <w:keepLines/>
        <w:spacing w:before="0" w:after="40" w:line="250" w:lineRule="auto"/>
      </w:pPr>
      <w:r>
        <w:rPr>
          <w:rFonts w:ascii="Microsoft JhengHei" w:hAnsi="Microsoft JhengHei" w:eastAsia="Microsoft JhengHei"/>
          <w:b w:val="0"/>
          <w:color w:val="245A81"/>
          <w:sz w:val="17"/>
        </w:rPr>
        <w:t>I17B-E02｜指標 17｜草案：待確認</w:t>
      </w:r>
    </w:p>
    <w:tbl>
      <w:tblPr>
        <w:tblStyle w:val="TableGrid"/>
        <w:tblW w:type="auto" w:w="0"/>
        <w:tblLook w:firstColumn="1" w:firstRow="1" w:lastColumn="0" w:lastRow="0" w:noHBand="0" w:noVBand="1" w:val="04A0"/>
      </w:tblPr>
      <w:tblGrid>
        <w:gridCol w:w="10009"/>
      </w:tblGrid>
      <w:tr>
        <w:trPr>
          <w:cantSplit/>
        </w:trPr>
        <w:tc>
          <w:tcPr>
            <w:tcW w:type="dxa" w:w="10009"/>
            <w:vAlign w:val="center"/>
            <w:tcMar>
              <w:top w:w="55" w:type="dxa"/>
              <w:start w:w="72" w:type="dxa"/>
              <w:bottom w:w="55" w:type="dxa"/>
              <w:end w:w="72" w:type="dxa"/>
            </w:tcMar>
            <w:shd w:fill="FFF2CC"/>
          </w:tcPr>
          <w:p>
            <w:pPr>
              <w:keepLines/>
              <w:spacing w:before="0" w:after="0" w:line="245" w:lineRule="auto"/>
            </w:pPr>
            <w:r/>
            <w:r>
              <w:rPr>
                <w:rFonts w:ascii="Microsoft JhengHei" w:hAnsi="Microsoft JhengHei" w:eastAsia="Microsoft JhengHei"/>
                <w:b/>
                <w:color w:val="183B63"/>
                <w:sz w:val="16"/>
              </w:rPr>
              <w:t>工作稿｜尚待填入本會真實資料並完成審議核定；不代表課程已辦理、流程已核准、聘任已成立、證明已取得或成果已發生。</w:t>
            </w:r>
          </w:p>
        </w:tc>
      </w:tr>
    </w:tbl>
    <w:p>
      <w:pPr>
        <w:spacing w:after="6" w:line="132" w:lineRule="auto"/>
      </w:pPr>
    </w:p>
    <w:tbl>
      <w:tblPr>
        <w:tblStyle w:val="TableGrid"/>
        <w:tblW w:type="auto" w:w="0"/>
        <w:jc w:val="center"/>
        <w:tblLayout w:type="fixed"/>
        <w:tblLook w:firstColumn="1" w:firstRow="1" w:lastColumn="0" w:lastRow="0" w:noHBand="0" w:noVBand="1" w:val="04A0"/>
      </w:tblPr>
      <w:tblGrid>
        <w:gridCol w:w="1512"/>
        <w:gridCol w:w="8381"/>
      </w:tblGrid>
      <w:tr>
        <w:trPr>
          <w:tblHeader w:val="true"/>
          <w:cantSplit/>
        </w:trPr>
        <w:tc>
          <w:tcPr>
            <w:tcW w:type="dxa" w:w="1512"/>
            <w:vAlign w:val="center"/>
            <w:tcMar>
              <w:top w:w="55" w:type="dxa"/>
              <w:start w:w="72" w:type="dxa"/>
              <w:bottom w:w="55" w:type="dxa"/>
              <w:end w:w="72" w:type="dxa"/>
            </w:tcMar>
            <w:shd w:fill="183B63"/>
          </w:tcPr>
          <w:p>
            <w:pPr>
              <w:keepLines/>
              <w:spacing w:before="0" w:after="0" w:line="245" w:lineRule="auto"/>
            </w:pPr>
            <w:r/>
            <w:r>
              <w:rPr>
                <w:rFonts w:ascii="Microsoft JhengHei" w:hAnsi="Microsoft JhengHei" w:eastAsia="Microsoft JhengHei"/>
                <w:b/>
                <w:color w:val="FFFFFF"/>
                <w:sz w:val="15"/>
              </w:rPr>
              <w:t>先看</w:t>
            </w:r>
          </w:p>
        </w:tc>
        <w:tc>
          <w:tcPr>
            <w:tcW w:type="dxa" w:w="8381"/>
            <w:vAlign w:val="center"/>
            <w:tcMar>
              <w:top w:w="55" w:type="dxa"/>
              <w:start w:w="72" w:type="dxa"/>
              <w:bottom w:w="55" w:type="dxa"/>
              <w:end w:w="72" w:type="dxa"/>
            </w:tcMar>
            <w:shd w:fill="183B63"/>
          </w:tcPr>
          <w:p>
            <w:pPr>
              <w:keepLines/>
              <w:spacing w:before="0" w:after="0" w:line="245" w:lineRule="auto"/>
            </w:pPr>
            <w:r/>
            <w:r>
              <w:rPr>
                <w:rFonts w:ascii="Microsoft JhengHei" w:hAnsi="Microsoft JhengHei" w:eastAsia="Microsoft JhengHei"/>
                <w:b/>
                <w:color w:val="FFFFFF"/>
                <w:sz w:val="15"/>
              </w:rPr>
              <w:t>說明</w:t>
            </w:r>
          </w:p>
        </w:tc>
      </w:tr>
      <w:tr>
        <w:trPr>
          <w:cantSplit/>
        </w:trPr>
        <w:tc>
          <w:tcPr>
            <w:tcW w:type="dxa" w:w="1512"/>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5"/>
              </w:rPr>
              <w:t>文件用途</w:t>
            </w:r>
          </w:p>
        </w:tc>
        <w:tc>
          <w:tcPr>
            <w:tcW w:type="dxa" w:w="8381"/>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5"/>
              </w:rPr>
              <w:t>檢討評量工具及學員建議與課程目標的連結，記錄採納判斷、修訂及追蹤。</w:t>
            </w:r>
          </w:p>
        </w:tc>
      </w:tr>
      <w:tr>
        <w:trPr>
          <w:cantSplit/>
        </w:trPr>
        <w:tc>
          <w:tcPr>
            <w:tcW w:type="dxa" w:w="1512"/>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5"/>
              </w:rPr>
              <w:t>怎麼使用</w:t>
            </w:r>
          </w:p>
        </w:tc>
        <w:tc>
          <w:tcPr>
            <w:tcW w:type="dxa" w:w="8381"/>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5"/>
              </w:rPr>
              <w:t>使用實際工具版本、評量原件和去識別化建議紀錄；決議待會議／權責審議。</w:t>
            </w:r>
          </w:p>
        </w:tc>
      </w:tr>
      <w:tr>
        <w:trPr>
          <w:cantSplit/>
        </w:trPr>
        <w:tc>
          <w:tcPr>
            <w:tcW w:type="dxa" w:w="1512"/>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5"/>
              </w:rPr>
              <w:t>評核先看</w:t>
            </w:r>
          </w:p>
        </w:tc>
        <w:tc>
          <w:tcPr>
            <w:tcW w:type="dxa" w:w="8381"/>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5"/>
              </w:rPr>
              <w:t>本表的流程／檢核／追溯欄位及其後附的真實原始證據索引。</w:t>
            </w:r>
          </w:p>
        </w:tc>
      </w:tr>
      <w:tr>
        <w:trPr>
          <w:cantSplit/>
        </w:trPr>
        <w:tc>
          <w:tcPr>
            <w:tcW w:type="dxa" w:w="1512"/>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5"/>
              </w:rPr>
              <w:t>目前狀態</w:t>
            </w:r>
          </w:p>
        </w:tc>
        <w:tc>
          <w:tcPr>
            <w:tcW w:type="dxa" w:w="8381"/>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5"/>
              </w:rPr>
              <w:t>只有官方查核要求及空白工作稿；協會現行作法、紀錄、核定與成果均待查證或補入。</w:t>
            </w:r>
          </w:p>
        </w:tc>
      </w:tr>
    </w:tbl>
    <w:p>
      <w:pPr>
        <w:spacing w:after="10" w:line="132" w:lineRule="auto"/>
      </w:pPr>
    </w:p>
    <w:p>
      <w:pPr>
        <w:pStyle w:val="Heading2"/>
        <w:keepNext/>
        <w:keepLines/>
        <w:spacing w:before="60" w:after="40"/>
      </w:pPr>
      <w:r>
        <w:rPr>
          <w:rFonts w:ascii="Microsoft JhengHei" w:hAnsi="Microsoft JhengHei" w:eastAsia="Microsoft JhengHei"/>
          <w:b/>
          <w:color w:val="245A81"/>
          <w:sz w:val="20"/>
        </w:rPr>
        <w:t>官方查核要求</w:t>
      </w:r>
    </w:p>
    <w:p>
      <w:pPr>
        <w:keepLines/>
        <w:spacing w:before="0" w:after="40" w:line="250" w:lineRule="auto"/>
      </w:pPr>
      <w:r>
        <w:rPr>
          <w:rFonts w:ascii="Microsoft JhengHei" w:hAnsi="Microsoft JhengHei" w:eastAsia="Microsoft JhengHei"/>
          <w:b w:val="0"/>
          <w:color w:val="24364B"/>
          <w:sz w:val="17"/>
        </w:rPr>
        <w:t>對課程評量及學員建議進行檢討與紀錄。</w:t>
      </w:r>
    </w:p>
    <w:p>
      <w:pPr>
        <w:pStyle w:val="Heading1"/>
        <w:keepNext/>
        <w:keepLines/>
        <w:spacing w:before="120" w:after="40"/>
      </w:pPr>
      <w:r>
        <w:rPr>
          <w:rFonts w:ascii="Microsoft JhengHei" w:hAnsi="Microsoft JhengHei" w:eastAsia="Microsoft JhengHei"/>
          <w:b/>
          <w:color w:val="183B63"/>
          <w:sz w:val="24"/>
        </w:rPr>
        <w:t>一、檢討範圍與資料清單</w:t>
      </w:r>
    </w:p>
    <w:p>
      <w:pPr>
        <w:keepLines/>
        <w:spacing w:before="0" w:after="44" w:line="250" w:lineRule="auto"/>
      </w:pPr>
      <w:r>
        <w:rPr>
          <w:rFonts w:ascii="Microsoft JhengHei" w:hAnsi="Microsoft JhengHei" w:eastAsia="Microsoft JhengHei"/>
          <w:b w:val="0"/>
          <w:color w:val="24364B"/>
          <w:sz w:val="18"/>
        </w:rPr>
        <w:t>本表用來檢視課程評量工具及學員建議是否能支持課程目標與改進決策。它記錄「評量與建議的檢討」，不替代滿意度問卷、班次結案報告或改善行動方案；各項須以實際原件及版本為準。</w:t>
      </w:r>
    </w:p>
    <w:tbl>
      <w:tblPr>
        <w:tblStyle w:val="TableGrid"/>
        <w:tblW w:type="auto" w:w="0"/>
        <w:jc w:val="center"/>
        <w:tblLayout w:type="fixed"/>
        <w:tblLook w:firstColumn="1" w:firstRow="1" w:lastColumn="0" w:lastRow="0" w:noHBand="0" w:noVBand="1" w:val="04A0"/>
      </w:tblPr>
      <w:tblGrid>
        <w:gridCol w:w="2160"/>
        <w:gridCol w:w="5112"/>
        <w:gridCol w:w="2621"/>
      </w:tblGrid>
      <w:tr>
        <w:trPr>
          <w:tblHeader w:val="true"/>
          <w:cantSplit/>
        </w:trPr>
        <w:tc>
          <w:tcPr>
            <w:tcW w:type="dxa" w:w="2160"/>
            <w:vAlign w:val="center"/>
            <w:tcMar>
              <w:top w:w="55" w:type="dxa"/>
              <w:start w:w="72" w:type="dxa"/>
              <w:bottom w:w="55" w:type="dxa"/>
              <w:end w:w="72" w:type="dxa"/>
            </w:tcMar>
            <w:shd w:fill="183B63"/>
          </w:tcPr>
          <w:p>
            <w:pPr>
              <w:keepLines/>
              <w:spacing w:before="0" w:after="0" w:line="245" w:lineRule="auto"/>
            </w:pPr>
            <w:r/>
            <w:r>
              <w:rPr>
                <w:rFonts w:ascii="Microsoft JhengHei" w:hAnsi="Microsoft JhengHei" w:eastAsia="Microsoft JhengHei"/>
                <w:b/>
                <w:color w:val="FFFFFF"/>
                <w:sz w:val="14"/>
              </w:rPr>
              <w:t>資料類別</w:t>
            </w:r>
          </w:p>
        </w:tc>
        <w:tc>
          <w:tcPr>
            <w:tcW w:type="dxa" w:w="5112"/>
            <w:vAlign w:val="center"/>
            <w:tcMar>
              <w:top w:w="55" w:type="dxa"/>
              <w:start w:w="72" w:type="dxa"/>
              <w:bottom w:w="55" w:type="dxa"/>
              <w:end w:w="72" w:type="dxa"/>
            </w:tcMar>
            <w:shd w:fill="183B63"/>
          </w:tcPr>
          <w:p>
            <w:pPr>
              <w:keepLines/>
              <w:spacing w:before="0" w:after="0" w:line="245" w:lineRule="auto"/>
            </w:pPr>
            <w:r/>
            <w:r>
              <w:rPr>
                <w:rFonts w:ascii="Microsoft JhengHei" w:hAnsi="Microsoft JhengHei" w:eastAsia="Microsoft JhengHei"/>
                <w:b/>
                <w:color w:val="FFFFFF"/>
                <w:sz w:val="14"/>
              </w:rPr>
              <w:t>檢討前核對事項</w:t>
            </w:r>
          </w:p>
        </w:tc>
        <w:tc>
          <w:tcPr>
            <w:tcW w:type="dxa" w:w="2621"/>
            <w:vAlign w:val="center"/>
            <w:tcMar>
              <w:top w:w="55" w:type="dxa"/>
              <w:start w:w="72" w:type="dxa"/>
              <w:bottom w:w="55" w:type="dxa"/>
              <w:end w:w="72" w:type="dxa"/>
            </w:tcMar>
            <w:shd w:fill="183B63"/>
          </w:tcPr>
          <w:p>
            <w:pPr>
              <w:keepLines/>
              <w:spacing w:before="0" w:after="0" w:line="245" w:lineRule="auto"/>
            </w:pPr>
            <w:r/>
            <w:r>
              <w:rPr>
                <w:rFonts w:ascii="Microsoft JhengHei" w:hAnsi="Microsoft JhengHei" w:eastAsia="Microsoft JhengHei"/>
                <w:b/>
                <w:color w:val="FFFFFF"/>
                <w:sz w:val="14"/>
              </w:rPr>
              <w:t>資料編號／狀態</w:t>
            </w:r>
          </w:p>
        </w:tc>
      </w:tr>
      <w:tr>
        <w:trPr>
          <w:cantSplit/>
        </w:trPr>
        <w:tc>
          <w:tcPr>
            <w:tcW w:type="dxa" w:w="2160"/>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4"/>
              </w:rPr>
              <w:t>課程目標與計畫</w:t>
            </w:r>
          </w:p>
        </w:tc>
        <w:tc>
          <w:tcPr>
            <w:tcW w:type="dxa" w:w="5112"/>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4"/>
              </w:rPr>
              <w:t>確認適用版本、目標與事前核定標準。</w:t>
            </w:r>
          </w:p>
        </w:tc>
        <w:tc>
          <w:tcPr>
            <w:tcW w:type="dxa" w:w="2621"/>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4"/>
              </w:rPr>
              <w:t>[待填／待取得]</w:t>
            </w:r>
          </w:p>
        </w:tc>
      </w:tr>
      <w:tr>
        <w:trPr>
          <w:cantSplit/>
        </w:trPr>
        <w:tc>
          <w:tcPr>
            <w:tcW w:type="dxa" w:w="2160"/>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4"/>
              </w:rPr>
              <w:t>評量工具與結果</w:t>
            </w:r>
          </w:p>
        </w:tc>
        <w:tc>
          <w:tcPr>
            <w:tcW w:type="dxa" w:w="5112"/>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4"/>
              </w:rPr>
              <w:t>核對工具題項、評分規則、原始紀錄及計算口徑。</w:t>
            </w:r>
          </w:p>
        </w:tc>
        <w:tc>
          <w:tcPr>
            <w:tcW w:type="dxa" w:w="2621"/>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4"/>
              </w:rPr>
              <w:t>[待填／待取得]</w:t>
            </w:r>
          </w:p>
        </w:tc>
      </w:tr>
      <w:tr>
        <w:trPr>
          <w:cantSplit/>
        </w:trPr>
        <w:tc>
          <w:tcPr>
            <w:tcW w:type="dxa" w:w="2160"/>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4"/>
              </w:rPr>
              <w:t>學員建議</w:t>
            </w:r>
          </w:p>
        </w:tc>
        <w:tc>
          <w:tcPr>
            <w:tcW w:type="dxa" w:w="5112"/>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4"/>
              </w:rPr>
              <w:t>保留原意，記錄來源、期間、數量口徑及匿名方式。</w:t>
            </w:r>
          </w:p>
        </w:tc>
        <w:tc>
          <w:tcPr>
            <w:tcW w:type="dxa" w:w="2621"/>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4"/>
              </w:rPr>
              <w:t>[待填／待取得]</w:t>
            </w:r>
          </w:p>
        </w:tc>
      </w:tr>
      <w:tr>
        <w:trPr>
          <w:cantSplit/>
        </w:trPr>
        <w:tc>
          <w:tcPr>
            <w:tcW w:type="dxa" w:w="2160"/>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4"/>
              </w:rPr>
              <w:t>前次決定與修訂</w:t>
            </w:r>
          </w:p>
        </w:tc>
        <w:tc>
          <w:tcPr>
            <w:tcW w:type="dxa" w:w="5112"/>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4"/>
              </w:rPr>
              <w:t>核對上次決議、課程版本差異及追蹤結果。</w:t>
            </w:r>
          </w:p>
        </w:tc>
        <w:tc>
          <w:tcPr>
            <w:tcW w:type="dxa" w:w="2621"/>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4"/>
              </w:rPr>
              <w:t>[待填／尚待原件]</w:t>
            </w:r>
          </w:p>
        </w:tc>
      </w:tr>
    </w:tbl>
    <w:p>
      <w:pPr>
        <w:spacing w:after="10" w:line="132" w:lineRule="auto"/>
      </w:pPr>
    </w:p>
    <w:p>
      <w:pPr>
        <w:pStyle w:val="Heading2"/>
        <w:keepNext/>
        <w:keepLines/>
        <w:spacing w:before="60" w:after="40"/>
      </w:pPr>
      <w:r>
        <w:rPr>
          <w:rFonts w:ascii="Microsoft JhengHei" w:hAnsi="Microsoft JhengHei" w:eastAsia="Microsoft JhengHei"/>
          <w:b/>
          <w:color w:val="245A81"/>
          <w:sz w:val="20"/>
        </w:rPr>
        <w:t>二、評量工具檢討紀錄</w:t>
      </w:r>
    </w:p>
    <w:tbl>
      <w:tblPr>
        <w:tblStyle w:val="TableGrid"/>
        <w:tblW w:type="auto" w:w="0"/>
        <w:jc w:val="center"/>
        <w:tblLayout w:type="fixed"/>
        <w:tblLook w:firstColumn="1" w:firstRow="1" w:lastColumn="0" w:lastRow="0" w:noHBand="0" w:noVBand="1" w:val="04A0"/>
      </w:tblPr>
      <w:tblGrid>
        <w:gridCol w:w="2232"/>
        <w:gridCol w:w="2592"/>
        <w:gridCol w:w="1944"/>
        <w:gridCol w:w="2088"/>
        <w:gridCol w:w="1037"/>
      </w:tblGrid>
      <w:tr>
        <w:trPr>
          <w:tblHeader w:val="true"/>
          <w:cantSplit/>
        </w:trPr>
        <w:tc>
          <w:tcPr>
            <w:tcW w:type="dxa" w:w="2232"/>
            <w:vAlign w:val="center"/>
            <w:tcMar>
              <w:top w:w="55" w:type="dxa"/>
              <w:start w:w="72" w:type="dxa"/>
              <w:bottom w:w="55" w:type="dxa"/>
              <w:end w:w="72" w:type="dxa"/>
            </w:tcMar>
            <w:shd w:fill="183B63"/>
          </w:tcPr>
          <w:p>
            <w:pPr>
              <w:keepLines/>
              <w:spacing w:before="0" w:after="0" w:line="245" w:lineRule="auto"/>
            </w:pPr>
            <w:r/>
            <w:r>
              <w:rPr>
                <w:rFonts w:ascii="Microsoft JhengHei" w:hAnsi="Microsoft JhengHei" w:eastAsia="Microsoft JhengHei"/>
                <w:b/>
                <w:color w:val="FFFFFF"/>
                <w:sz w:val="13"/>
              </w:rPr>
              <w:t>工具／版本／目標</w:t>
            </w:r>
          </w:p>
        </w:tc>
        <w:tc>
          <w:tcPr>
            <w:tcW w:type="dxa" w:w="2592"/>
            <w:vAlign w:val="center"/>
            <w:tcMar>
              <w:top w:w="55" w:type="dxa"/>
              <w:start w:w="72" w:type="dxa"/>
              <w:bottom w:w="55" w:type="dxa"/>
              <w:end w:w="72" w:type="dxa"/>
            </w:tcMar>
            <w:shd w:fill="183B63"/>
          </w:tcPr>
          <w:p>
            <w:pPr>
              <w:keepLines/>
              <w:spacing w:before="0" w:after="0" w:line="245" w:lineRule="auto"/>
            </w:pPr>
            <w:r/>
            <w:r>
              <w:rPr>
                <w:rFonts w:ascii="Microsoft JhengHei" w:hAnsi="Microsoft JhengHei" w:eastAsia="Microsoft JhengHei"/>
                <w:b/>
                <w:color w:val="FFFFFF"/>
                <w:sz w:val="13"/>
              </w:rPr>
              <w:t>適切性與資料證據</w:t>
            </w:r>
          </w:p>
        </w:tc>
        <w:tc>
          <w:tcPr>
            <w:tcW w:type="dxa" w:w="1944"/>
            <w:vAlign w:val="center"/>
            <w:tcMar>
              <w:top w:w="55" w:type="dxa"/>
              <w:start w:w="72" w:type="dxa"/>
              <w:bottom w:w="55" w:type="dxa"/>
              <w:end w:w="72" w:type="dxa"/>
            </w:tcMar>
            <w:shd w:fill="183B63"/>
          </w:tcPr>
          <w:p>
            <w:pPr>
              <w:keepLines/>
              <w:spacing w:before="0" w:after="0" w:line="245" w:lineRule="auto"/>
            </w:pPr>
            <w:r/>
            <w:r>
              <w:rPr>
                <w:rFonts w:ascii="Microsoft JhengHei" w:hAnsi="Microsoft JhengHei" w:eastAsia="Microsoft JhengHei"/>
                <w:b/>
                <w:color w:val="FFFFFF"/>
                <w:sz w:val="13"/>
              </w:rPr>
              <w:t>發現／限制</w:t>
            </w:r>
          </w:p>
        </w:tc>
        <w:tc>
          <w:tcPr>
            <w:tcW w:type="dxa" w:w="2088"/>
            <w:vAlign w:val="center"/>
            <w:tcMar>
              <w:top w:w="55" w:type="dxa"/>
              <w:start w:w="72" w:type="dxa"/>
              <w:bottom w:w="55" w:type="dxa"/>
              <w:end w:w="72" w:type="dxa"/>
            </w:tcMar>
            <w:shd w:fill="183B63"/>
          </w:tcPr>
          <w:p>
            <w:pPr>
              <w:keepLines/>
              <w:spacing w:before="0" w:after="0" w:line="245" w:lineRule="auto"/>
            </w:pPr>
            <w:r/>
            <w:r>
              <w:rPr>
                <w:rFonts w:ascii="Microsoft JhengHei" w:hAnsi="Microsoft JhengHei" w:eastAsia="Microsoft JhengHei"/>
                <w:b/>
                <w:color w:val="FFFFFF"/>
                <w:sz w:val="13"/>
              </w:rPr>
              <w:t>維持或修訂決定</w:t>
            </w:r>
          </w:p>
        </w:tc>
        <w:tc>
          <w:tcPr>
            <w:tcW w:type="dxa" w:w="1037"/>
            <w:vAlign w:val="center"/>
            <w:tcMar>
              <w:top w:w="55" w:type="dxa"/>
              <w:start w:w="72" w:type="dxa"/>
              <w:bottom w:w="55" w:type="dxa"/>
              <w:end w:w="72" w:type="dxa"/>
            </w:tcMar>
            <w:shd w:fill="183B63"/>
          </w:tcPr>
          <w:p>
            <w:pPr>
              <w:keepLines/>
              <w:spacing w:before="0" w:after="0" w:line="245" w:lineRule="auto"/>
            </w:pPr>
            <w:r/>
            <w:r>
              <w:rPr>
                <w:rFonts w:ascii="Microsoft JhengHei" w:hAnsi="Microsoft JhengHei" w:eastAsia="Microsoft JhengHei"/>
                <w:b/>
                <w:color w:val="FFFFFF"/>
                <w:sz w:val="13"/>
              </w:rPr>
              <w:t>附件</w:t>
            </w:r>
          </w:p>
        </w:tc>
      </w:tr>
      <w:tr>
        <w:trPr>
          <w:cantSplit/>
        </w:trPr>
        <w:tc>
          <w:tcPr>
            <w:tcW w:type="dxa" w:w="2232"/>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2592"/>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3"/>
              </w:rPr>
              <w:t>[待分析；連結目標]</w:t>
            </w:r>
          </w:p>
        </w:tc>
        <w:tc>
          <w:tcPr>
            <w:tcW w:type="dxa" w:w="1944"/>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2088"/>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3"/>
              </w:rPr>
              <w:t>[待審議]</w:t>
            </w:r>
          </w:p>
        </w:tc>
        <w:tc>
          <w:tcPr>
            <w:tcW w:type="dxa" w:w="1037"/>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3"/>
              </w:rPr>
              <w:t>[待填]</w:t>
            </w:r>
          </w:p>
        </w:tc>
      </w:tr>
      <w:tr>
        <w:trPr>
          <w:cantSplit/>
        </w:trPr>
        <w:tc>
          <w:tcPr>
            <w:tcW w:type="dxa" w:w="2232"/>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2592"/>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3"/>
              </w:rPr>
              <w:t>[待分析；檢視公平性與可觀察性]</w:t>
            </w:r>
          </w:p>
        </w:tc>
        <w:tc>
          <w:tcPr>
            <w:tcW w:type="dxa" w:w="1944"/>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2088"/>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3"/>
              </w:rPr>
              <w:t>[待審議]</w:t>
            </w:r>
          </w:p>
        </w:tc>
        <w:tc>
          <w:tcPr>
            <w:tcW w:type="dxa" w:w="1037"/>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3"/>
              </w:rPr>
              <w:t>[待填]</w:t>
            </w:r>
          </w:p>
        </w:tc>
      </w:tr>
      <w:tr>
        <w:trPr>
          <w:cantSplit/>
        </w:trPr>
        <w:tc>
          <w:tcPr>
            <w:tcW w:type="dxa" w:w="2232"/>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2592"/>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3"/>
              </w:rPr>
              <w:t>[待分析；檢視分數與結果口徑]</w:t>
            </w:r>
          </w:p>
        </w:tc>
        <w:tc>
          <w:tcPr>
            <w:tcW w:type="dxa" w:w="1944"/>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2088"/>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3"/>
              </w:rPr>
              <w:t>[待審議]</w:t>
            </w:r>
          </w:p>
        </w:tc>
        <w:tc>
          <w:tcPr>
            <w:tcW w:type="dxa" w:w="1037"/>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3"/>
              </w:rPr>
              <w:t>[待填]</w:t>
            </w:r>
          </w:p>
        </w:tc>
      </w:tr>
    </w:tbl>
    <w:p>
      <w:pPr>
        <w:spacing w:after="10" w:line="132" w:lineRule="auto"/>
      </w:pPr>
    </w:p>
    <w:p>
      <w:pPr>
        <w:pStyle w:val="Heading2"/>
        <w:keepNext/>
        <w:keepLines/>
        <w:spacing w:before="60" w:after="40"/>
      </w:pPr>
      <w:r>
        <w:rPr>
          <w:rFonts w:ascii="Microsoft JhengHei" w:hAnsi="Microsoft JhengHei" w:eastAsia="Microsoft JhengHei"/>
          <w:b/>
          <w:color w:val="245A81"/>
          <w:sz w:val="20"/>
        </w:rPr>
        <w:t>三、學員建議分析與回應</w:t>
      </w:r>
    </w:p>
    <w:tbl>
      <w:tblPr>
        <w:tblStyle w:val="TableGrid"/>
        <w:tblW w:type="auto" w:w="0"/>
        <w:jc w:val="center"/>
        <w:tblLayout w:type="fixed"/>
        <w:tblLook w:firstColumn="1" w:firstRow="1" w:lastColumn="0" w:lastRow="0" w:noHBand="0" w:noVBand="1" w:val="04A0"/>
      </w:tblPr>
      <w:tblGrid>
        <w:gridCol w:w="1656"/>
        <w:gridCol w:w="2376"/>
        <w:gridCol w:w="2088"/>
        <w:gridCol w:w="2088"/>
        <w:gridCol w:w="1685"/>
      </w:tblGrid>
      <w:tr>
        <w:trPr>
          <w:tblHeader w:val="true"/>
          <w:cantSplit/>
        </w:trPr>
        <w:tc>
          <w:tcPr>
            <w:tcW w:type="dxa" w:w="1656"/>
            <w:vAlign w:val="center"/>
            <w:tcMar>
              <w:top w:w="55" w:type="dxa"/>
              <w:start w:w="72" w:type="dxa"/>
              <w:bottom w:w="55" w:type="dxa"/>
              <w:end w:w="72" w:type="dxa"/>
            </w:tcMar>
            <w:shd w:fill="183B63"/>
          </w:tcPr>
          <w:p>
            <w:pPr>
              <w:keepLines/>
              <w:spacing w:before="0" w:after="0" w:line="245" w:lineRule="auto"/>
            </w:pPr>
            <w:r/>
            <w:r>
              <w:rPr>
                <w:rFonts w:ascii="Microsoft JhengHei" w:hAnsi="Microsoft JhengHei" w:eastAsia="Microsoft JhengHei"/>
                <w:b/>
                <w:color w:val="FFFFFF"/>
                <w:sz w:val="13"/>
              </w:rPr>
              <w:t>建議編號／來源</w:t>
            </w:r>
          </w:p>
        </w:tc>
        <w:tc>
          <w:tcPr>
            <w:tcW w:type="dxa" w:w="2376"/>
            <w:vAlign w:val="center"/>
            <w:tcMar>
              <w:top w:w="55" w:type="dxa"/>
              <w:start w:w="72" w:type="dxa"/>
              <w:bottom w:w="55" w:type="dxa"/>
              <w:end w:w="72" w:type="dxa"/>
            </w:tcMar>
            <w:shd w:fill="183B63"/>
          </w:tcPr>
          <w:p>
            <w:pPr>
              <w:keepLines/>
              <w:spacing w:before="0" w:after="0" w:line="245" w:lineRule="auto"/>
            </w:pPr>
            <w:r/>
            <w:r>
              <w:rPr>
                <w:rFonts w:ascii="Microsoft JhengHei" w:hAnsi="Microsoft JhengHei" w:eastAsia="Microsoft JhengHei"/>
                <w:b/>
                <w:color w:val="FFFFFF"/>
                <w:sz w:val="13"/>
              </w:rPr>
              <w:t>意見摘要（保留原意）</w:t>
            </w:r>
          </w:p>
        </w:tc>
        <w:tc>
          <w:tcPr>
            <w:tcW w:type="dxa" w:w="2088"/>
            <w:vAlign w:val="center"/>
            <w:tcMar>
              <w:top w:w="55" w:type="dxa"/>
              <w:start w:w="72" w:type="dxa"/>
              <w:bottom w:w="55" w:type="dxa"/>
              <w:end w:w="72" w:type="dxa"/>
            </w:tcMar>
            <w:shd w:fill="183B63"/>
          </w:tcPr>
          <w:p>
            <w:pPr>
              <w:keepLines/>
              <w:spacing w:before="0" w:after="0" w:line="245" w:lineRule="auto"/>
            </w:pPr>
            <w:r/>
            <w:r>
              <w:rPr>
                <w:rFonts w:ascii="Microsoft JhengHei" w:hAnsi="Microsoft JhengHei" w:eastAsia="Microsoft JhengHei"/>
                <w:b/>
                <w:color w:val="FFFFFF"/>
                <w:sz w:val="13"/>
              </w:rPr>
              <w:t>課程關聯／證據</w:t>
            </w:r>
          </w:p>
        </w:tc>
        <w:tc>
          <w:tcPr>
            <w:tcW w:type="dxa" w:w="2088"/>
            <w:vAlign w:val="center"/>
            <w:tcMar>
              <w:top w:w="55" w:type="dxa"/>
              <w:start w:w="72" w:type="dxa"/>
              <w:bottom w:w="55" w:type="dxa"/>
              <w:end w:w="72" w:type="dxa"/>
            </w:tcMar>
            <w:shd w:fill="183B63"/>
          </w:tcPr>
          <w:p>
            <w:pPr>
              <w:keepLines/>
              <w:spacing w:before="0" w:after="0" w:line="245" w:lineRule="auto"/>
            </w:pPr>
            <w:r/>
            <w:r>
              <w:rPr>
                <w:rFonts w:ascii="Microsoft JhengHei" w:hAnsi="Microsoft JhengHei" w:eastAsia="Microsoft JhengHei"/>
                <w:b/>
                <w:color w:val="FFFFFF"/>
                <w:sz w:val="13"/>
              </w:rPr>
              <w:t>採納／不採納理由</w:t>
            </w:r>
          </w:p>
        </w:tc>
        <w:tc>
          <w:tcPr>
            <w:tcW w:type="dxa" w:w="1685"/>
            <w:vAlign w:val="center"/>
            <w:tcMar>
              <w:top w:w="55" w:type="dxa"/>
              <w:start w:w="72" w:type="dxa"/>
              <w:bottom w:w="55" w:type="dxa"/>
              <w:end w:w="72" w:type="dxa"/>
            </w:tcMar>
            <w:shd w:fill="183B63"/>
          </w:tcPr>
          <w:p>
            <w:pPr>
              <w:keepLines/>
              <w:spacing w:before="0" w:after="0" w:line="245" w:lineRule="auto"/>
            </w:pPr>
            <w:r/>
            <w:r>
              <w:rPr>
                <w:rFonts w:ascii="Microsoft JhengHei" w:hAnsi="Microsoft JhengHei" w:eastAsia="Microsoft JhengHei"/>
                <w:b/>
                <w:color w:val="FFFFFF"/>
                <w:sz w:val="13"/>
              </w:rPr>
              <w:t>後續決定</w:t>
            </w:r>
          </w:p>
        </w:tc>
      </w:tr>
      <w:tr>
        <w:trPr>
          <w:cantSplit/>
        </w:trPr>
        <w:tc>
          <w:tcPr>
            <w:tcW w:type="dxa" w:w="1656"/>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2376"/>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3"/>
              </w:rPr>
              <w:t>[待取得；去識別化]</w:t>
            </w:r>
          </w:p>
        </w:tc>
        <w:tc>
          <w:tcPr>
            <w:tcW w:type="dxa" w:w="2088"/>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3"/>
              </w:rPr>
              <w:t>[待分析]</w:t>
            </w:r>
          </w:p>
        </w:tc>
        <w:tc>
          <w:tcPr>
            <w:tcW w:type="dxa" w:w="2088"/>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3"/>
              </w:rPr>
              <w:t>[待審議；不得預設]</w:t>
            </w:r>
          </w:p>
        </w:tc>
        <w:tc>
          <w:tcPr>
            <w:tcW w:type="dxa" w:w="1685"/>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3"/>
              </w:rPr>
              <w:t>[待追蹤]</w:t>
            </w:r>
          </w:p>
        </w:tc>
      </w:tr>
      <w:tr>
        <w:trPr>
          <w:cantSplit/>
        </w:trPr>
        <w:tc>
          <w:tcPr>
            <w:tcW w:type="dxa" w:w="1656"/>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2376"/>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3"/>
              </w:rPr>
              <w:t>[待取得]</w:t>
            </w:r>
          </w:p>
        </w:tc>
        <w:tc>
          <w:tcPr>
            <w:tcW w:type="dxa" w:w="2088"/>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3"/>
              </w:rPr>
              <w:t>[待分析]</w:t>
            </w:r>
          </w:p>
        </w:tc>
        <w:tc>
          <w:tcPr>
            <w:tcW w:type="dxa" w:w="2088"/>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3"/>
              </w:rPr>
              <w:t>[待審議]</w:t>
            </w:r>
          </w:p>
        </w:tc>
        <w:tc>
          <w:tcPr>
            <w:tcW w:type="dxa" w:w="1685"/>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3"/>
              </w:rPr>
              <w:t>[待追蹤]</w:t>
            </w:r>
          </w:p>
        </w:tc>
      </w:tr>
      <w:tr>
        <w:trPr>
          <w:cantSplit/>
        </w:trPr>
        <w:tc>
          <w:tcPr>
            <w:tcW w:type="dxa" w:w="1656"/>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2376"/>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3"/>
              </w:rPr>
              <w:t>[待取得]</w:t>
            </w:r>
          </w:p>
        </w:tc>
        <w:tc>
          <w:tcPr>
            <w:tcW w:type="dxa" w:w="2088"/>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3"/>
              </w:rPr>
              <w:t>[待分析]</w:t>
            </w:r>
          </w:p>
        </w:tc>
        <w:tc>
          <w:tcPr>
            <w:tcW w:type="dxa" w:w="2088"/>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3"/>
              </w:rPr>
              <w:t>[待審議]</w:t>
            </w:r>
          </w:p>
        </w:tc>
        <w:tc>
          <w:tcPr>
            <w:tcW w:type="dxa" w:w="1685"/>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3"/>
              </w:rPr>
              <w:t>[待追蹤]</w:t>
            </w:r>
          </w:p>
        </w:tc>
      </w:tr>
    </w:tbl>
    <w:p>
      <w:pPr>
        <w:spacing w:after="10" w:line="132" w:lineRule="auto"/>
      </w:pPr>
    </w:p>
    <w:p>
      <w:pPr>
        <w:pStyle w:val="Heading2"/>
        <w:keepNext/>
        <w:keepLines/>
        <w:spacing w:before="60" w:after="40"/>
      </w:pPr>
      <w:r>
        <w:rPr>
          <w:rFonts w:ascii="Microsoft JhengHei" w:hAnsi="Microsoft JhengHei" w:eastAsia="Microsoft JhengHei"/>
          <w:b/>
          <w:color w:val="245A81"/>
          <w:sz w:val="20"/>
        </w:rPr>
        <w:t>四、檢討結論、版本變更與追蹤</w:t>
      </w:r>
    </w:p>
    <w:tbl>
      <w:tblPr>
        <w:tblStyle w:val="TableGrid"/>
        <w:tblW w:type="auto" w:w="0"/>
        <w:jc w:val="center"/>
        <w:tblLayout w:type="fixed"/>
        <w:tblLook w:firstColumn="1" w:firstRow="1" w:lastColumn="0" w:lastRow="0" w:noHBand="0" w:noVBand="1" w:val="04A0"/>
      </w:tblPr>
      <w:tblGrid>
        <w:gridCol w:w="2304"/>
        <w:gridCol w:w="2232"/>
        <w:gridCol w:w="2952"/>
        <w:gridCol w:w="2405"/>
      </w:tblGrid>
      <w:tr>
        <w:trPr>
          <w:tblHeader w:val="true"/>
          <w:cantSplit/>
        </w:trPr>
        <w:tc>
          <w:tcPr>
            <w:tcW w:type="dxa" w:w="2304"/>
            <w:vAlign w:val="center"/>
            <w:tcMar>
              <w:top w:w="55" w:type="dxa"/>
              <w:start w:w="72" w:type="dxa"/>
              <w:bottom w:w="55" w:type="dxa"/>
              <w:end w:w="72" w:type="dxa"/>
            </w:tcMar>
            <w:shd w:fill="183B63"/>
          </w:tcPr>
          <w:p>
            <w:pPr>
              <w:keepLines/>
              <w:spacing w:before="0" w:after="0" w:line="245" w:lineRule="auto"/>
            </w:pPr>
            <w:r/>
            <w:r>
              <w:rPr>
                <w:rFonts w:ascii="Microsoft JhengHei" w:hAnsi="Microsoft JhengHei" w:eastAsia="Microsoft JhengHei"/>
                <w:b/>
                <w:color w:val="FFFFFF"/>
                <w:sz w:val="13"/>
              </w:rPr>
              <w:t>決議／待辦</w:t>
            </w:r>
          </w:p>
        </w:tc>
        <w:tc>
          <w:tcPr>
            <w:tcW w:type="dxa" w:w="2232"/>
            <w:vAlign w:val="center"/>
            <w:tcMar>
              <w:top w:w="55" w:type="dxa"/>
              <w:start w:w="72" w:type="dxa"/>
              <w:bottom w:w="55" w:type="dxa"/>
              <w:end w:w="72" w:type="dxa"/>
            </w:tcMar>
            <w:shd w:fill="183B63"/>
          </w:tcPr>
          <w:p>
            <w:pPr>
              <w:keepLines/>
              <w:spacing w:before="0" w:after="0" w:line="245" w:lineRule="auto"/>
            </w:pPr>
            <w:r/>
            <w:r>
              <w:rPr>
                <w:rFonts w:ascii="Microsoft JhengHei" w:hAnsi="Microsoft JhengHei" w:eastAsia="Microsoft JhengHei"/>
                <w:b/>
                <w:color w:val="FFFFFF"/>
                <w:sz w:val="13"/>
              </w:rPr>
              <w:t>責任角色／期限</w:t>
            </w:r>
          </w:p>
        </w:tc>
        <w:tc>
          <w:tcPr>
            <w:tcW w:type="dxa" w:w="2952"/>
            <w:vAlign w:val="center"/>
            <w:tcMar>
              <w:top w:w="55" w:type="dxa"/>
              <w:start w:w="72" w:type="dxa"/>
              <w:bottom w:w="55" w:type="dxa"/>
              <w:end w:w="72" w:type="dxa"/>
            </w:tcMar>
            <w:shd w:fill="183B63"/>
          </w:tcPr>
          <w:p>
            <w:pPr>
              <w:keepLines/>
              <w:spacing w:before="0" w:after="0" w:line="245" w:lineRule="auto"/>
            </w:pPr>
            <w:r/>
            <w:r>
              <w:rPr>
                <w:rFonts w:ascii="Microsoft JhengHei" w:hAnsi="Microsoft JhengHei" w:eastAsia="Microsoft JhengHei"/>
                <w:b/>
                <w:color w:val="FFFFFF"/>
                <w:sz w:val="13"/>
              </w:rPr>
              <w:t>課程／評量版本變更</w:t>
            </w:r>
          </w:p>
        </w:tc>
        <w:tc>
          <w:tcPr>
            <w:tcW w:type="dxa" w:w="2405"/>
            <w:vAlign w:val="center"/>
            <w:tcMar>
              <w:top w:w="55" w:type="dxa"/>
              <w:start w:w="72" w:type="dxa"/>
              <w:bottom w:w="55" w:type="dxa"/>
              <w:end w:w="72" w:type="dxa"/>
            </w:tcMar>
            <w:shd w:fill="183B63"/>
          </w:tcPr>
          <w:p>
            <w:pPr>
              <w:keepLines/>
              <w:spacing w:before="0" w:after="0" w:line="245" w:lineRule="auto"/>
            </w:pPr>
            <w:r/>
            <w:r>
              <w:rPr>
                <w:rFonts w:ascii="Microsoft JhengHei" w:hAnsi="Microsoft JhengHei" w:eastAsia="Microsoft JhengHei"/>
                <w:b/>
                <w:color w:val="FFFFFF"/>
                <w:sz w:val="13"/>
              </w:rPr>
              <w:t>核定狀態／證據</w:t>
            </w:r>
          </w:p>
        </w:tc>
      </w:tr>
      <w:tr>
        <w:trPr>
          <w:cantSplit/>
        </w:trPr>
        <w:tc>
          <w:tcPr>
            <w:tcW w:type="dxa" w:w="2304"/>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2232"/>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3"/>
              </w:rPr>
              <w:t>[待指派／待核定]</w:t>
            </w:r>
          </w:p>
        </w:tc>
        <w:tc>
          <w:tcPr>
            <w:tcW w:type="dxa" w:w="2952"/>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3"/>
              </w:rPr>
              <w:t>[修訂前後差異待填]</w:t>
            </w:r>
          </w:p>
        </w:tc>
        <w:tc>
          <w:tcPr>
            <w:tcW w:type="dxa" w:w="2405"/>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3"/>
              </w:rPr>
              <w:t>[待核定]</w:t>
            </w:r>
          </w:p>
        </w:tc>
      </w:tr>
      <w:tr>
        <w:trPr>
          <w:cantSplit/>
        </w:trPr>
        <w:tc>
          <w:tcPr>
            <w:tcW w:type="dxa" w:w="2304"/>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3"/>
              </w:rPr>
              <w:t>[待填]</w:t>
            </w:r>
          </w:p>
        </w:tc>
        <w:tc>
          <w:tcPr>
            <w:tcW w:type="dxa" w:w="2232"/>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3"/>
              </w:rPr>
              <w:t>[待指派／待核定]</w:t>
            </w:r>
          </w:p>
        </w:tc>
        <w:tc>
          <w:tcPr>
            <w:tcW w:type="dxa" w:w="2952"/>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3"/>
              </w:rPr>
              <w:t>[修訂前後差異待填]</w:t>
            </w:r>
          </w:p>
        </w:tc>
        <w:tc>
          <w:tcPr>
            <w:tcW w:type="dxa" w:w="2405"/>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3"/>
              </w:rPr>
              <w:t>[待核定]</w:t>
            </w:r>
          </w:p>
        </w:tc>
      </w:tr>
    </w:tbl>
    <w:p>
      <w:pPr>
        <w:spacing w:after="10" w:line="132" w:lineRule="auto"/>
      </w:pPr>
    </w:p>
    <w:tbl>
      <w:tblPr>
        <w:tblStyle w:val="TableGrid"/>
        <w:tblW w:type="auto" w:w="0"/>
        <w:jc w:val="center"/>
        <w:tblLayout w:type="fixed"/>
        <w:tblLook w:firstColumn="1" w:firstRow="1" w:lastColumn="0" w:lastRow="0" w:noHBand="0" w:noVBand="1" w:val="04A0"/>
      </w:tblPr>
      <w:tblGrid>
        <w:gridCol w:w="2232"/>
        <w:gridCol w:w="2232"/>
        <w:gridCol w:w="2952"/>
        <w:gridCol w:w="2477"/>
      </w:tblGrid>
      <w:tr>
        <w:trPr>
          <w:tblHeader w:val="true"/>
          <w:cantSplit/>
        </w:trPr>
        <w:tc>
          <w:tcPr>
            <w:tcW w:type="dxa" w:w="2232"/>
            <w:vAlign w:val="center"/>
            <w:tcMar>
              <w:top w:w="55" w:type="dxa"/>
              <w:start w:w="72" w:type="dxa"/>
              <w:bottom w:w="55" w:type="dxa"/>
              <w:end w:w="72" w:type="dxa"/>
            </w:tcMar>
            <w:shd w:fill="183B63"/>
          </w:tcPr>
          <w:p>
            <w:pPr>
              <w:keepLines/>
              <w:spacing w:before="0" w:after="0" w:line="245" w:lineRule="auto"/>
            </w:pPr>
            <w:r/>
            <w:r>
              <w:rPr>
                <w:rFonts w:ascii="Microsoft JhengHei" w:hAnsi="Microsoft JhengHei" w:eastAsia="Microsoft JhengHei"/>
                <w:b/>
                <w:color w:val="FFFFFF"/>
                <w:sz w:val="14"/>
              </w:rPr>
              <w:t>檢討會議／日期</w:t>
            </w:r>
          </w:p>
        </w:tc>
        <w:tc>
          <w:tcPr>
            <w:tcW w:type="dxa" w:w="2232"/>
            <w:vAlign w:val="center"/>
            <w:tcMar>
              <w:top w:w="55" w:type="dxa"/>
              <w:start w:w="72" w:type="dxa"/>
              <w:bottom w:w="55" w:type="dxa"/>
              <w:end w:w="72" w:type="dxa"/>
            </w:tcMar>
            <w:shd w:fill="183B63"/>
          </w:tcPr>
          <w:p>
            <w:pPr>
              <w:keepLines/>
              <w:spacing w:before="0" w:after="0" w:line="245" w:lineRule="auto"/>
            </w:pPr>
            <w:r/>
            <w:r>
              <w:rPr>
                <w:rFonts w:ascii="Microsoft JhengHei" w:hAnsi="Microsoft JhengHei" w:eastAsia="Microsoft JhengHei"/>
                <w:b/>
                <w:color w:val="FFFFFF"/>
                <w:sz w:val="14"/>
              </w:rPr>
              <w:t>紀錄／覆核角色</w:t>
            </w:r>
          </w:p>
        </w:tc>
        <w:tc>
          <w:tcPr>
            <w:tcW w:type="dxa" w:w="2952"/>
            <w:vAlign w:val="center"/>
            <w:tcMar>
              <w:top w:w="55" w:type="dxa"/>
              <w:start w:w="72" w:type="dxa"/>
              <w:bottom w:w="55" w:type="dxa"/>
              <w:end w:w="72" w:type="dxa"/>
            </w:tcMar>
            <w:shd w:fill="183B63"/>
          </w:tcPr>
          <w:p>
            <w:pPr>
              <w:keepLines/>
              <w:spacing w:before="0" w:after="0" w:line="245" w:lineRule="auto"/>
            </w:pPr>
            <w:r/>
            <w:r>
              <w:rPr>
                <w:rFonts w:ascii="Microsoft JhengHei" w:hAnsi="Microsoft JhengHei" w:eastAsia="Microsoft JhengHei"/>
                <w:b/>
                <w:color w:val="FFFFFF"/>
                <w:sz w:val="14"/>
              </w:rPr>
              <w:t>原始資料及附件索引</w:t>
            </w:r>
          </w:p>
        </w:tc>
        <w:tc>
          <w:tcPr>
            <w:tcW w:type="dxa" w:w="2477"/>
            <w:vAlign w:val="center"/>
            <w:tcMar>
              <w:top w:w="55" w:type="dxa"/>
              <w:start w:w="72" w:type="dxa"/>
              <w:bottom w:w="55" w:type="dxa"/>
              <w:end w:w="72" w:type="dxa"/>
            </w:tcMar>
            <w:shd w:fill="183B63"/>
          </w:tcPr>
          <w:p>
            <w:pPr>
              <w:keepLines/>
              <w:spacing w:before="0" w:after="0" w:line="245" w:lineRule="auto"/>
            </w:pPr>
            <w:r/>
            <w:r>
              <w:rPr>
                <w:rFonts w:ascii="Microsoft JhengHei" w:hAnsi="Microsoft JhengHei" w:eastAsia="Microsoft JhengHei"/>
                <w:b/>
                <w:color w:val="FFFFFF"/>
                <w:sz w:val="14"/>
              </w:rPr>
              <w:t>後續驗證狀態</w:t>
            </w:r>
          </w:p>
        </w:tc>
      </w:tr>
      <w:tr>
        <w:trPr>
          <w:cantSplit/>
        </w:trPr>
        <w:tc>
          <w:tcPr>
            <w:tcW w:type="dxa" w:w="2232"/>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4"/>
              </w:rPr>
              <w:t>[實際檢討後填]</w:t>
            </w:r>
          </w:p>
        </w:tc>
        <w:tc>
          <w:tcPr>
            <w:tcW w:type="dxa" w:w="2232"/>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4"/>
              </w:rPr>
              <w:t>[待填]</w:t>
            </w:r>
          </w:p>
        </w:tc>
        <w:tc>
          <w:tcPr>
            <w:tcW w:type="dxa" w:w="2952"/>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4"/>
              </w:rPr>
              <w:t>[待填]</w:t>
            </w:r>
          </w:p>
        </w:tc>
        <w:tc>
          <w:tcPr>
            <w:tcW w:type="dxa" w:w="2477"/>
            <w:vAlign w:val="center"/>
            <w:tcMar>
              <w:top w:w="55" w:type="dxa"/>
              <w:start w:w="72" w:type="dxa"/>
              <w:bottom w:w="55" w:type="dxa"/>
              <w:end w:w="72" w:type="dxa"/>
            </w:tcMar>
          </w:tcPr>
          <w:p>
            <w:pPr>
              <w:keepLines/>
              <w:spacing w:before="0" w:after="0" w:line="245" w:lineRule="auto"/>
            </w:pPr>
            <w:r/>
            <w:r>
              <w:rPr>
                <w:rFonts w:ascii="Microsoft JhengHei" w:hAnsi="Microsoft JhengHei" w:eastAsia="Microsoft JhengHei"/>
                <w:b w:val="0"/>
                <w:color w:val="24364B"/>
                <w:sz w:val="14"/>
              </w:rPr>
              <w:t>[待追蹤]</w:t>
            </w:r>
          </w:p>
        </w:tc>
      </w:tr>
    </w:tbl>
    <w:p>
      <w:pPr>
        <w:spacing w:after="10" w:line="132" w:lineRule="auto"/>
      </w:pPr>
    </w:p>
    <w:p>
      <w:pPr>
        <w:keepLines/>
        <w:spacing w:before="0" w:after="20" w:line="250" w:lineRule="auto"/>
      </w:pPr>
      <w:r>
        <w:rPr>
          <w:rFonts w:ascii="Microsoft JhengHei" w:hAnsi="Microsoft JhengHei" w:eastAsia="Microsoft JhengHei"/>
          <w:b w:val="0"/>
          <w:color w:val="62748A"/>
          <w:sz w:val="16"/>
        </w:rPr>
        <w:t>資料與真實性：本稿依官方查核要求設計，尚須本會依實際制度、資料及權責審議補正。未填資料不表示稽核、課程、問卷、回饋、改善、核定或成果已發生。</w:t>
      </w:r>
    </w:p>
    <w:sectPr w:rsidR="00FC693F" w:rsidRPr="0006063C" w:rsidSect="00034616">
      <w:headerReference w:type="default" r:id="rId9"/>
      <w:footerReference w:type="default" r:id="rId10"/>
      <w:pgSz w:w="11909" w:h="16834"/>
      <w:pgMar w:top="835" w:right="950" w:bottom="835" w:left="95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JhengHei" w:hAnsi="Microsoft JhengHei" w:eastAsia="Microsoft JhengHei"/>
        <w:b w:val="0"/>
        <w:color w:val="62748A"/>
        <w:sz w:val="16"/>
      </w:rPr>
      <w:t xml:space="preserve">待本會填實、審議核定後使用｜第 </w:t>
    </w:r>
    <w:r>
      <w:rPr>
        <w:rFonts w:ascii="Microsoft JhengHei" w:hAnsi="Microsoft JhengHei" w:eastAsia="Microsoft JhengHei"/>
        <w:b w:val="0"/>
        <w:color w:val="62748A"/>
        <w:sz w:val="16"/>
      </w:rPr>
      <w:fldChar w:fldCharType="begin"/>
      <w:instrText xml:space="preserve">PAGE</w:instrText>
      <w:fldChar w:fldCharType="separate"/>
      <w:t>1</w:t>
      <w:fldChar w:fldCharType="end"/>
    </w:r>
    <w:r>
      <w:rPr>
        <w:rFonts w:ascii="Microsoft JhengHei" w:hAnsi="Microsoft JhengHei" w:eastAsia="Microsoft JhengHei"/>
        <w:b w:val="0"/>
        <w:color w:val="62748A"/>
        <w:sz w:val="16"/>
      </w:rPr>
      <w:t xml:space="preserve"> 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JhengHei" w:hAnsi="Microsoft JhengHei" w:eastAsia="Microsoft JhengHei"/>
        <w:b w:val="0"/>
        <w:color w:val="62748A"/>
        <w:sz w:val="16"/>
      </w:rPr>
      <w:t>社團法人屏東縣原始點關懷協會｜文件工作稿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0" w:lineRule="auto"/>
    </w:pPr>
    <w:rPr>
      <w:rFonts w:ascii="Microsoft JhengHei" w:hAnsi="Microsoft JhengHei" w:eastAsia="Microsoft JhengHei"/>
      <w:color w:val="24364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183B63"/>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245A8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Microsoft JhengHei" w:hAnsi="Microsoft JhengHei" w:eastAsia="Microsoft JhengHei"/>
      <w:b/>
      <w:color w:val="183B63"/>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