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訓後滿意度調查與利害關係人課後檢討紀錄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I17A-E01｜指標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收集並分析真實課後滿意度及講師、學員、人資、部門主管等利益關係人的建議。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依實際對象和核定工具執行；問卷回覆、統計、檢討及附件均待原始資料。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課後滿意度調查分析與課後檢討講師、學員、人資、部門主管等利益關係人的建議回饋紀錄。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一、調查與檢討基本資料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本文件含空白問卷及分析表。沒有實際發放、回收和課後檢討時，不得填造意見、回收數、分數或會議結論。量尺與調查方式須由本會依課程及個資保護需求核定。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調查欄位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實際填寫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課程／版本／班次與期間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[待填；以核定及實際紀錄為準]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調查對象與方式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[學員／講師／人資／部門主管等；依實際對象填]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發放／回收／有效份數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[取得原始回覆後填；不得預填]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匿名、同意與資料保存方式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[待核定；不蒐集超出目的的個資]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調查工具版本／分析責任角色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[待填／待核定]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二、學員滿意度問卷（空白題目）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建議題目僅作問卷設計範本；每題量尺、選項、開放題及匿名方式，須配合實際課程核定。作答欄保持空白。</w:t>
      </w:r>
    </w:p>
    <w:p>
      <w:pPr/>
      <w:r>
        <w:t>本稿建議封閉題採五點滿意度量尺：1＝非常不滿意、2＝不滿意、3＝普通、4＝滿意、5＝非常滿意；「不適用／未接觸」不計入有效分母。此為待審議的工具設計建議，正式發放前須由本會核定並在問卷版本中記錄；不得把建議量尺寫成既有協會制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088"/>
        <w:gridCol w:w="3485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題目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量尺／作答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實際回覆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課程目標與內容是否清楚且相符？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r>
              <w:t>建議五點滿意度量尺；本會核定後使用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教材、教學活動及練習是否有助學習？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r>
              <w:t>建議五點滿意度量尺；本會核定後使用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課程安排、時間及學習支持是否合宜？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r>
              <w:t>建議五點滿意度量尺；本會核定後使用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最有幫助的內容及原因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開放題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希望調整或增加的內容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開放題</w:t>
            </w:r>
          </w:p>
        </w:tc>
        <w:tc>
          <w:tcPr>
            <w:tcW w:type="dxa" w:w="34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[空白]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三、利益關係人課後回饋與檢討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520"/>
        <w:gridCol w:w="1800"/>
        <w:gridCol w:w="190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對象／角色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回饋來源／期間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意見摘要與證據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判讀／課程關聯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回應／待辦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學員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[待取得；保留原意]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講師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人資／承辦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部門主管／其他利害關係人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[待取得；依實際紀錄]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[待判讀]</w:t>
            </w:r>
          </w:p>
        </w:tc>
        <w:tc>
          <w:tcPr>
            <w:tcW w:type="dxa" w:w="19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[待決定]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四、統計與檢討結論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069"/>
        <w:gridCol w:w="295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計算／整理口徑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回收率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有效回覆份數 ÷ 可回覆對象數 × 100%；說明無效／未回覆處理。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[待計算；附母數]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量尺題分布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逐題列各選項份數；平均數只在量尺適用且核定時使用。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[待取得原始回覆]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開放意見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按主題整理，保留原意並去識別化；不以少數回覆概括全體。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課後檢討／改善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連結意見、決定、負責角色及後續驗證。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[待核定／追蹤]</w:t>
            </w:r>
          </w:p>
        </w:tc>
      </w:tr>
      <w:tr>
        <w:tc>
          <w:tcPr>
            <w:tcW w:type="dxa" w:w="1872"/>
          </w:tcPr>
          <w:p>
            <w:r>
              <w:t>平均分</w:t>
            </w:r>
          </w:p>
        </w:tc>
        <w:tc>
          <w:tcPr>
            <w:tcW w:type="dxa" w:w="5069"/>
          </w:tcPr>
          <w:p>
            <w:r>
              <w:t>每題有效 1–5 分數總和 ÷ 該題有效回答數；分母為 0 時列不適用。</w:t>
            </w:r>
          </w:p>
        </w:tc>
        <w:tc>
          <w:tcPr>
            <w:tcW w:type="dxa" w:w="2952"/>
          </w:tcPr>
          <w:p>
            <w:r>
              <w:t>[待核定量尺及真實回覆]</w:t>
            </w:r>
          </w:p>
        </w:tc>
      </w:tr>
      <w:tr>
        <w:tc>
          <w:tcPr>
            <w:tcW w:type="dxa" w:w="1872"/>
          </w:tcPr>
          <w:p>
            <w:r>
              <w:t>正向率</w:t>
            </w:r>
          </w:p>
        </w:tc>
        <w:tc>
          <w:tcPr>
            <w:tcW w:type="dxa" w:w="5069"/>
          </w:tcPr>
          <w:p>
            <w:r>
              <w:t>採核定五點量尺時，以該題 4–5 分有效回答數 ÷ 該題有效回答數 × 100%；逐題列有效 N。</w:t>
            </w:r>
          </w:p>
        </w:tc>
        <w:tc>
          <w:tcPr>
            <w:tcW w:type="dxa" w:w="2952"/>
          </w:tcPr>
          <w:p>
            <w:r>
              <w:t>[待核定量尺及真實回覆]</w:t>
            </w:r>
          </w:p>
        </w:tc>
      </w:tr>
      <w:tr>
        <w:tc>
          <w:tcPr>
            <w:tcW w:type="dxa" w:w="1872"/>
          </w:tcPr>
          <w:p>
            <w:r>
              <w:t>目標與差距</w:t>
            </w:r>
          </w:p>
        </w:tc>
        <w:tc>
          <w:tcPr>
            <w:tcW w:type="dxa" w:w="5069"/>
          </w:tcPr>
          <w:p>
            <w:r>
              <w:t>調查前核定目標／門檻；差距＝實際指標－核定目標，並說明指標方向、樣本及限制。</w:t>
            </w:r>
          </w:p>
        </w:tc>
        <w:tc>
          <w:tcPr>
            <w:tcW w:type="dxa" w:w="2952"/>
          </w:tcPr>
          <w:p>
            <w:r>
              <w:t>[待核定／待原始資料]</w:t>
            </w:r>
          </w:p>
        </w:tc>
      </w:tr>
    </w:tbl>
    <w:p>
      <w:pPr>
        <w:spacing w:after="10" w:line="132" w:lineRule="auto"/>
      </w:pPr>
    </w:p>
    <w:p>
      <w:pPr>
        <w:pStyle w:val="Heading2"/>
      </w:pPr>
      <w:r>
        <w:t>五、調查結果、目標差距與改善判讀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</w:tcPr>
          <w:p>
            <w:r>
              <w:t>構面／題項</w:t>
            </w:r>
          </w:p>
        </w:tc>
        <w:tc>
          <w:tcPr>
            <w:tcW w:type="dxa" w:w="2002"/>
          </w:tcPr>
          <w:p>
            <w:r>
              <w:t>核定目標／期間</w:t>
            </w:r>
          </w:p>
        </w:tc>
        <w:tc>
          <w:tcPr>
            <w:tcW w:type="dxa" w:w="2002"/>
          </w:tcPr>
          <w:p>
            <w:r>
              <w:t>實際結果／有效 N</w:t>
            </w:r>
          </w:p>
        </w:tc>
        <w:tc>
          <w:tcPr>
            <w:tcW w:type="dxa" w:w="2002"/>
          </w:tcPr>
          <w:p>
            <w:r>
              <w:t>差距／判讀限制</w:t>
            </w:r>
          </w:p>
        </w:tc>
        <w:tc>
          <w:tcPr>
            <w:tcW w:type="dxa" w:w="2002"/>
          </w:tcPr>
          <w:p>
            <w:r>
              <w:t>改善建議／責任／期限</w:t>
            </w:r>
          </w:p>
        </w:tc>
      </w:tr>
      <w:tr>
        <w:tc>
          <w:tcPr>
            <w:tcW w:type="dxa" w:w="2002"/>
          </w:tcPr>
          <w:p>
            <w:r>
              <w:t>課程目標與內容</w:t>
            </w:r>
          </w:p>
        </w:tc>
        <w:tc>
          <w:tcPr>
            <w:tcW w:type="dxa" w:w="2002"/>
          </w:tcPr>
          <w:p>
            <w:r>
              <w:t>[調查前核定；列明期間]</w:t>
            </w:r>
          </w:p>
        </w:tc>
        <w:tc>
          <w:tcPr>
            <w:tcW w:type="dxa" w:w="2002"/>
          </w:tcPr>
          <w:p>
            <w:r>
              <w:t>[待真實回覆／有效 N]</w:t>
            </w:r>
          </w:p>
        </w:tc>
        <w:tc>
          <w:tcPr>
            <w:tcW w:type="dxa" w:w="2002"/>
          </w:tcPr>
          <w:p>
            <w:r>
              <w:t>[依同一量尺比較；列限制]</w:t>
            </w:r>
          </w:p>
        </w:tc>
        <w:tc>
          <w:tcPr>
            <w:tcW w:type="dxa" w:w="2002"/>
          </w:tcPr>
          <w:p>
            <w:r>
              <w:t>[待分析／核定責任與期限]</w:t>
            </w:r>
          </w:p>
        </w:tc>
      </w:tr>
      <w:tr>
        <w:tc>
          <w:tcPr>
            <w:tcW w:type="dxa" w:w="2002"/>
          </w:tcPr>
          <w:p>
            <w:r>
              <w:t>教材、教學活動與練習</w:t>
            </w:r>
          </w:p>
        </w:tc>
        <w:tc>
          <w:tcPr>
            <w:tcW w:type="dxa" w:w="2002"/>
          </w:tcPr>
          <w:p>
            <w:r>
              <w:t>[調查前核定；列明期間]</w:t>
            </w:r>
          </w:p>
        </w:tc>
        <w:tc>
          <w:tcPr>
            <w:tcW w:type="dxa" w:w="2002"/>
          </w:tcPr>
          <w:p>
            <w:r>
              <w:t>[待真實回覆／有效 N]</w:t>
            </w:r>
          </w:p>
        </w:tc>
        <w:tc>
          <w:tcPr>
            <w:tcW w:type="dxa" w:w="2002"/>
          </w:tcPr>
          <w:p>
            <w:r>
              <w:t>[依同一量尺比較；列限制]</w:t>
            </w:r>
          </w:p>
        </w:tc>
        <w:tc>
          <w:tcPr>
            <w:tcW w:type="dxa" w:w="2002"/>
          </w:tcPr>
          <w:p>
            <w:r>
              <w:t>[待分析／核定責任與期限]</w:t>
            </w:r>
          </w:p>
        </w:tc>
      </w:tr>
      <w:tr>
        <w:tc>
          <w:tcPr>
            <w:tcW w:type="dxa" w:w="2002"/>
          </w:tcPr>
          <w:p>
            <w:r>
              <w:t>課程安排、時間與學習支持</w:t>
            </w:r>
          </w:p>
        </w:tc>
        <w:tc>
          <w:tcPr>
            <w:tcW w:type="dxa" w:w="2002"/>
          </w:tcPr>
          <w:p>
            <w:r>
              <w:t>[調查前核定；列明期間]</w:t>
            </w:r>
          </w:p>
        </w:tc>
        <w:tc>
          <w:tcPr>
            <w:tcW w:type="dxa" w:w="2002"/>
          </w:tcPr>
          <w:p>
            <w:r>
              <w:t>[待真實回覆／有效 N]</w:t>
            </w:r>
          </w:p>
        </w:tc>
        <w:tc>
          <w:tcPr>
            <w:tcW w:type="dxa" w:w="2002"/>
          </w:tcPr>
          <w:p>
            <w:r>
              <w:t>[依同一量尺比較；列限制]</w:t>
            </w:r>
          </w:p>
        </w:tc>
        <w:tc>
          <w:tcPr>
            <w:tcW w:type="dxa" w:w="2002"/>
          </w:tcPr>
          <w:p>
            <w:r>
              <w:t>[待分析／核定責任與期限]</w:t>
            </w:r>
          </w:p>
        </w:tc>
      </w:tr>
      <w:tr>
        <w:tc>
          <w:tcPr>
            <w:tcW w:type="dxa" w:w="2002"/>
          </w:tcPr>
          <w:p>
            <w:r>
              <w:t>主要開放意見</w:t>
            </w:r>
          </w:p>
        </w:tc>
        <w:tc>
          <w:tcPr>
            <w:tcW w:type="dxa" w:w="2002"/>
          </w:tcPr>
          <w:p>
            <w:r>
              <w:t>不設分數門檻；保留原意並去識別</w:t>
            </w:r>
          </w:p>
        </w:tc>
        <w:tc>
          <w:tcPr>
            <w:tcW w:type="dxa" w:w="2002"/>
          </w:tcPr>
          <w:p>
            <w:r>
              <w:t>[待取得原始回覆]</w:t>
            </w:r>
          </w:p>
        </w:tc>
        <w:tc>
          <w:tcPr>
            <w:tcW w:type="dxa" w:w="2002"/>
          </w:tcPr>
          <w:p>
            <w:r>
              <w:t>[不得以少數意見概括全體]</w:t>
            </w:r>
          </w:p>
        </w:tc>
        <w:tc>
          <w:tcPr>
            <w:tcW w:type="dxa" w:w="2002"/>
          </w:tcPr>
          <w:p>
            <w:r>
              <w:t>[待討論／核定責任與期限]</w:t>
            </w:r>
          </w:p>
        </w:tc>
      </w:tr>
    </w:tbl>
    <w:p>
      <w:pPr/>
      <w:r>
        <w:t>資料未核實前保留待補，不繪製或填入結果圖。取得可比的真實回覆後，得由本表及逐題統計製作分項摘要；只有具相同量尺、母體定義與期間的資料才可作趨勢比較。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