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訓練內外部稽核程序與紀錄表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I16-E03｜指標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>
              <w:t>工作稿｜真實資料與核定待補；空白不代表稽核、課程、問卷、回饋、改善或成果已發生，也不表示核准、聘任或證明已取得。</w:t>
            </w: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說明訓練流程內部／外部稽核的計畫、查核、發現、改善與結案紀錄。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先核定稽核範圍與權責；完成查核後再記錄原件、客觀證據及改善追蹤。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訓練的內外稽核流程與紀錄。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一、稽核目的與執行方式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程序草稿供本會建立訓練流程內部稽核及外部稽核資料管理方式。內部稽核依本會核定的權責與查核範圍辦理；外部稽核只記錄第三方實際執行並出具的原件。沒有稽核活動或報告時，狀態填「待辦／待取得」，不得以本範本表示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299"/>
        <w:gridCol w:w="337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控制要求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應留原始紀錄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界定期間、流程、範圍、準則、抽樣與稽核角色；避免查核自己負責的工作。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年度／專案計畫、範圍及指派紀錄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準備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將訓練需求、規劃、師資教材、執行、評量、結案及改善列入查核清單。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查核清單、文件版次及抽樣依據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以文件、訪談或現場紀錄核對；逐項註明證據，不預設結果。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日期、受查流程、證據編號及事實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依事前核定準則區分符合、觀察、缺失或不適用，說明依據。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查核發現、影響範圍及受查回應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改善追蹤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記錄原因分析、措施、負責角色、期限及有效性複查。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改善計畫、完成原件、複查及結案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二、年度／專案稽核計畫（待核定）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3024"/>
        <w:gridCol w:w="197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稽核類型／範圍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期間／準則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稽核角色／獨立性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計畫核定狀態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三、內部／外部查核紀錄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外部稽核的報告、函文、簽章或證明須由實際第三方提供並查驗原件。本表不能替代第三方報告。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56"/>
        <w:gridCol w:w="2592"/>
        <w:gridCol w:w="1944"/>
        <w:gridCol w:w="226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日期／類型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流程／樣本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查核準則與證據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結果／事實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受查回應／附件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四、發現改善與結案追蹤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376"/>
        <w:gridCol w:w="2232"/>
        <w:gridCol w:w="1872"/>
        <w:gridCol w:w="175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發現編號／等級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客觀證據／影響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原因與措施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負責角色／期限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複查／結案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/>
      <w:r>
        <w:t>統計口徑：缺失關閉率＝已有客觀證據且覆核通過的關閉缺失件數 ÷ 本次缺失總件數 × 100%。缺失總件數為 0 時記「本次無缺失」，不計百分比；未完成複查或證據不足者不得列入關閉件數。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