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學員訓後雇主問卷調查表</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由學員同意的雇主或主管回覆訓後工作應用觀察，補充成果評估的第三方資料。</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確認適用對象及觀察期間；無法觀察的題目選「無法判斷」，不得代答或推測。</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先看填答者資格與同意，再看工作情境、各題回覆及核對證據。</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目前沒有本批訓後學員、雇主或實際問卷回覆。本文件是空白問卷，不是調查結果。</w:t>
            </w:r>
          </w:p>
        </w:tc>
      </w:tr>
    </w:tbl>
    <w:p>
      <w:pPr>
        <w:spacing w:after="0" w:before="0" w:line="20" w:lineRule="exact"/>
      </w:pPr>
    </w:p>
    <w:p>
      <w:pPr>
        <w:keepLines/>
      </w:pPr>
      <w:r>
        <w:rPr>
          <w:rFonts w:ascii="Microsoft JhengHei" w:hAnsi="Microsoft JhengHei" w:eastAsia="Microsoft JhengHei"/>
          <w:b w:val="0"/>
          <w:color w:val="24364B"/>
          <w:sz w:val="22"/>
        </w:rPr>
        <w:t>對應查核項目：學員訓後雇主問卷調查表。</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本件待補：學員追蹤同意、實際雇主／主管回覆、問卷回收紀錄及資料分析。</w:t>
      </w:r>
    </w:p>
    <w:p>
      <w:pPr>
        <w:pStyle w:val="Heading1"/>
        <w:keepNext/>
      </w:pPr>
      <w:r>
        <w:rPr>
          <w:rFonts w:ascii="Microsoft JhengHei" w:hAnsi="Microsoft JhengHei" w:eastAsia="Microsoft JhengHei"/>
          <w:b/>
          <w:color w:val="183B63"/>
          <w:sz w:val="30"/>
        </w:rPr>
        <w:t>一、填答者與觀察範圍</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59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欄位</w:t>
            </w:r>
          </w:p>
        </w:tc>
        <w:tc>
          <w:tcPr>
            <w:tcW w:type="dxa" w:w="74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填寫</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班次／學員代碼</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[待補；使用去識別代碼]</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雇主／主管職務</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[待填；可採單位代碼，避免不必要個資]</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工作關係與觀察期間</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[待補：實際共事期間／任務]</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填答資格</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□直接主管 □雇主 □導師／合作單位 □其他：[待補]</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學員資料使用同意</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□已取得　□待取得；未取得不得聯繫或揭露可識別資料。</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填答日期／方式</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[待補；實際填答後記錄]</w:t>
            </w:r>
          </w:p>
        </w:tc>
      </w:tr>
    </w:tbl>
    <w:p>
      <w:pPr>
        <w:spacing w:after="0" w:before="0" w:line="20" w:lineRule="exact"/>
      </w:pPr>
    </w:p>
    <w:p>
      <w:pPr>
        <w:keepLines/>
      </w:pPr>
      <w:r>
        <w:rPr>
          <w:rFonts w:ascii="Microsoft JhengHei" w:hAnsi="Microsoft JhengHei" w:eastAsia="Microsoft JhengHei"/>
          <w:b w:val="0"/>
          <w:color w:val="24364B"/>
          <w:sz w:val="22"/>
        </w:rPr>
        <w:t>作答方式：1＝明顯未符合；2＝部分符合；3＝大致符合；4＝多數情境符合；5＝穩定符合；無法觀察／不適用另勾選，不計入平均。請以實際工作例子說明。</w:t>
      </w:r>
    </w:p>
    <w:p>
      <w:pPr>
        <w:pStyle w:val="Heading1"/>
        <w:keepNext/>
      </w:pPr>
      <w:r>
        <w:rPr>
          <w:rFonts w:ascii="Microsoft JhengHei" w:hAnsi="Microsoft JhengHei" w:eastAsia="Microsoft JhengHei"/>
          <w:b/>
          <w:color w:val="183B63"/>
          <w:sz w:val="30"/>
        </w:rPr>
        <w:t>二、工作應用觀察</w:t>
      </w:r>
    </w:p>
    <w:tbl>
      <w:tblPr>
        <w:tblStyle w:val="TableGrid"/>
        <w:tblW w:type="auto" w:w="0"/>
        <w:jc w:val="center"/>
        <w:tblLayout w:type="fixed"/>
        <w:tblLook w:firstColumn="1" w:firstRow="1" w:lastColumn="0" w:lastRow="0" w:noHBand="0" w:noVBand="1" w:val="04A0"/>
      </w:tblPr>
      <w:tblGrid>
        <w:gridCol w:w="1251"/>
        <w:gridCol w:w="1251"/>
        <w:gridCol w:w="1251"/>
        <w:gridCol w:w="1251"/>
        <w:gridCol w:w="1251"/>
        <w:gridCol w:w="1251"/>
        <w:gridCol w:w="1251"/>
        <w:gridCol w:w="1251"/>
      </w:tblGrid>
      <w:tr>
        <w:trPr>
          <w:tblHeader w:val="true"/>
        </w:trPr>
        <w:tc>
          <w:tcPr>
            <w:tcW w:type="dxa" w:w="309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觀察面向</w:t>
            </w:r>
          </w:p>
        </w:tc>
        <w:tc>
          <w:tcPr>
            <w:tcW w:type="dxa" w:w="547"/>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1</w:t>
            </w:r>
          </w:p>
        </w:tc>
        <w:tc>
          <w:tcPr>
            <w:tcW w:type="dxa" w:w="547"/>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2</w:t>
            </w:r>
          </w:p>
        </w:tc>
        <w:tc>
          <w:tcPr>
            <w:tcW w:type="dxa" w:w="547"/>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3</w:t>
            </w:r>
          </w:p>
        </w:tc>
        <w:tc>
          <w:tcPr>
            <w:tcW w:type="dxa" w:w="547"/>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4</w:t>
            </w:r>
          </w:p>
        </w:tc>
        <w:tc>
          <w:tcPr>
            <w:tcW w:type="dxa" w:w="547"/>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5</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無法判斷／不適用</w:t>
            </w:r>
          </w:p>
        </w:tc>
        <w:tc>
          <w:tcPr>
            <w:tcW w:type="dxa" w:w="25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具體事實或例子</w:t>
            </w:r>
          </w:p>
        </w:tc>
      </w:tr>
      <w:tr>
        <w:tc>
          <w:tcPr>
            <w:tcW w:type="dxa" w:w="30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工作任務與課程所學相關</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r>
      <w:tr>
        <w:tc>
          <w:tcPr>
            <w:tcW w:type="dxa" w:w="30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能依工作流程說明或運用所學</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r>
      <w:tr>
        <w:tc>
          <w:tcPr>
            <w:tcW w:type="dxa" w:w="30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能辨識安全界線並在疑義時停下或求助</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r>
      <w:tr>
        <w:tc>
          <w:tcPr>
            <w:tcW w:type="dxa" w:w="30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與服務對象溝通、尊重意願與隱私</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r>
      <w:tr>
        <w:tc>
          <w:tcPr>
            <w:tcW w:type="dxa" w:w="30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工作紀錄或後續處理符合單位要求</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r>
      <w:tr>
        <w:tc>
          <w:tcPr>
            <w:tcW w:type="dxa" w:w="30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相較觀察基準有可說明的改變</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r>
    </w:tbl>
    <w:p>
      <w:pPr>
        <w:spacing w:after="0" w:before="0" w:line="20" w:lineRule="exact"/>
      </w:pPr>
    </w:p>
    <w:p>
      <w:pPr>
        <w:pStyle w:val="Heading1"/>
        <w:keepNext/>
      </w:pPr>
      <w:r>
        <w:rPr>
          <w:rFonts w:ascii="Microsoft JhengHei" w:hAnsi="Microsoft JhengHei" w:eastAsia="Microsoft JhengHei"/>
          <w:b/>
          <w:color w:val="183B63"/>
          <w:sz w:val="30"/>
        </w:rPr>
        <w:t>三、開放回覆與證據</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問題</w:t>
            </w:r>
          </w:p>
        </w:tc>
        <w:tc>
          <w:tcPr>
            <w:tcW w:type="dxa" w:w="71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填寫</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實際觀察到的工作行為</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[描述日期／情境及可觀察事實；避免健康診斷或推論]</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能力或工作表現差異</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[待補；若無基準或無法判斷請說明]</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其他可能影響因素</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[設備、人力、職務、工作經驗或其他]</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仍需加強的能力</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可供核對的紀錄</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[文件名稱／位置；請勿附未授權個資]</w:t>
            </w:r>
          </w:p>
        </w:tc>
      </w:tr>
    </w:tbl>
    <w:p>
      <w:pPr>
        <w:spacing w:after="0" w:before="0" w:line="20" w:lineRule="exact"/>
      </w:pPr>
    </w:p>
    <w:p>
      <w:pPr>
        <w:pStyle w:val="Heading1"/>
        <w:keepNext/>
      </w:pPr>
      <w:r>
        <w:rPr>
          <w:rFonts w:ascii="Microsoft JhengHei" w:hAnsi="Microsoft JhengHei" w:eastAsia="Microsoft JhengHei"/>
          <w:b/>
          <w:color w:val="183B63"/>
          <w:sz w:val="30"/>
        </w:rPr>
        <w:t>四、回覆使用及承辦核對</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338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662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填寫</w:t>
            </w:r>
          </w:p>
        </w:tc>
      </w:tr>
      <w:tr>
        <w:tc>
          <w:tcPr>
            <w:tcW w:type="dxa" w:w="33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是否同意去識別摘要作內部分析</w:t>
            </w:r>
          </w:p>
        </w:tc>
        <w:tc>
          <w:tcPr>
            <w:tcW w:type="dxa" w:w="66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□同意　□不同意　□需另行確認</w:t>
            </w:r>
          </w:p>
        </w:tc>
      </w:tr>
      <w:tr>
        <w:tc>
          <w:tcPr>
            <w:tcW w:type="dxa" w:w="33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聯絡核對方式</w:t>
            </w:r>
          </w:p>
        </w:tc>
        <w:tc>
          <w:tcPr>
            <w:tcW w:type="dxa" w:w="66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[待補；依填答者同意]</w:t>
            </w:r>
          </w:p>
        </w:tc>
      </w:tr>
      <w:tr>
        <w:tc>
          <w:tcPr>
            <w:tcW w:type="dxa" w:w="33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資料核對結果</w:t>
            </w:r>
          </w:p>
        </w:tc>
        <w:tc>
          <w:tcPr>
            <w:tcW w:type="dxa" w:w="66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□已核　□待核　□無法核；原因：[待補]</w:t>
            </w:r>
          </w:p>
        </w:tc>
      </w:tr>
      <w:tr>
        <w:tc>
          <w:tcPr>
            <w:tcW w:type="dxa" w:w="33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缺漏／無回覆標記</w:t>
            </w:r>
          </w:p>
        </w:tc>
        <w:tc>
          <w:tcPr>
            <w:tcW w:type="dxa" w:w="66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□有效　□部分填答　□無回覆　□撤回</w:t>
            </w:r>
          </w:p>
        </w:tc>
      </w:tr>
    </w:tbl>
    <w:p>
      <w:pPr>
        <w:spacing w:after="0" w:before="0" w:line="20" w:lineRule="exact"/>
      </w:pPr>
    </w:p>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學員同意與對象資格</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待實際取得</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雇主問卷原件</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尚無回覆</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學員訓後雇主問卷調查表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