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訓練對組織財務績效改善分析報告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整理目標客戶／學員對財務面改善的說明，並以可核驗財務資料分別呈現指標、期間及變化。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先選核定且有資料來源的財務指標；把受訪者意見、帳務數字及其他影響因素分開。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先看帳務口徑與期間，再看計算表、受訪意見、限制及核對位置。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尚無本會課程及財務績效原始資料。不得從協會名稱、過往草稿或第三方案例推定本會收入、成本、節省或成效。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對應查核項目：提出目標客戶及學員對訓練達組織績效改善之說明（財務面）。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本件待補：實際課程／班次、目標客戶或學員同意、核定財務指標、帳務原件、期間基準及責任人覆核。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填寫／界線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提出目標客戶及學員對訓練達組織績效改善之說明（財務面）。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適用組織／班次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[待補；依實際受訓組織與班次界定]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財務指標選擇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□收入 □成本 □單位成本 □預算執行 □其他：[待核定]；需有原始資料。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目標客戶／學員說明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[收集具同意的原始回覆；不以意見代替帳務]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追蹤期間／比較基準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[待補；期間需可比，列資料來源及定義]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二、財務指標與資料血緣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指標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分子／分母或定義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期間／基準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來源及覆核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實績／目標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訓練相關收入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依核定會計科目與可辨識項目定義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帳冊／憑證：[待補]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直接訓練成本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講師、場地、教材等按核定口徑列示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帳冊／憑證：[待補]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單位成本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可歸屬直接成本 ÷ 實際服務人次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分子與分母來源：[待補]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預算執行差異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實際數－核定預算；列正負方向及原因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核定預算與帳務：[待補]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三、成果案例與意見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案例代碼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改善前／基準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訓練或介入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改善後／期間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佐證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[待補；去識別]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[原始資料／期間]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[實際訓練紀錄]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[帳務數據或受訪原文]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[檔案位置]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四、計算、分析及限制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分析項目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規則／填寫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財務變化率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(追蹤期實際值－基準期實際值) ÷ 基準期實際值；基準為 0、口徑變動或資料不足時不得套算。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受訪者意見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列明受訪者資格、同意、題目、有效 N 及原始回覆位置；與客觀財務結果分開。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其他影響因素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[價格、人次、季節、補助、服務組合、成本口徑等依真實情況填]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歸因限制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單一前後差異不能證明由訓練造成；說明比較條件、替代解釋及未能判定事項。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資料保護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僅保留核驗必要欄位；財務明細依權限存放，不放無關個資。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五、交叉驗證、改善決定及附件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填寫／狀態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 I17／I18／I19 核對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[引用同一核實版本；不可把不同口徑的數字合併]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改善／擴散決策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[由權責人覆核真實資料後填；本稿無核定決定]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責任與期限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附件索引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核定指標、帳務明細、原始回覆、期間定義、分析底稿及覆核紀錄：[待補]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提出目標客戶及學員對訓練達組織績效改善之說明（財務面）。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經核對帳務與受訪原始資料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變化率／期間／分母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財務基準與實績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帳冊／核定預算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定義與憑證位置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客戶／學員說明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同意問卷或訪談原文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 N 與摘要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訓練對組織財務績效改善分析報告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