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20"/>
      </w:pPr>
      <w:r>
        <w:rPr>
          <w:rFonts w:ascii="Microsoft JhengHei" w:hAnsi="Microsoft JhengHei" w:eastAsia="Microsoft JhengHei"/>
          <w:b/>
          <w:color w:val="183B63"/>
          <w:sz w:val="36"/>
        </w:rPr>
        <w:t>完整的訓練文件建檔資料檢核表</w:t>
      </w:r>
    </w:p>
    <w:p>
      <w:pPr>
        <w:spacing w:after="60"/>
      </w:pPr>
      <w:r>
        <w:rPr>
          <w:rFonts w:ascii="Microsoft JhengHei" w:hAnsi="Microsoft JhengHei" w:eastAsia="Microsoft JhengHei"/>
          <w:i/>
          <w:color w:val="566575"/>
          <w:sz w:val="17"/>
        </w:rPr>
        <w:t>填寫入口：先看本文件快速閱讀，再依後段「操作工具補充」完成專屬表單、判斷與追蹤。</w:t>
      </w:r>
    </w:p>
    <w:p>
      <w:pPr>
        <w:keepNext/>
        <w:keepLines/>
        <w:spacing w:before="0" w:after="40" w:line="250" w:lineRule="auto"/>
      </w:pPr>
      <w:r>
        <w:rPr>
          <w:rFonts w:ascii="Microsoft JhengHei" w:hAnsi="Microsoft JhengHei" w:eastAsia="Microsoft JhengHei"/>
          <w:b w:val="0"/>
          <w:color w:val="245A81"/>
          <w:sz w:val="17"/>
        </w:rPr>
        <w:t>I14-E03｜指標 14｜草案：待確認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  <w:tblHeader w:val="true"/>
        </w:trPr>
        <w:tc>
          <w:tcPr>
            <w:tcW w:type="dxa" w:w="1000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FFF2CC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工作稿｜尚待填入本會真實資料並完成審議核定；不代表課程已辦理、流程已核准、聘任已成立、證明已取得或成果已發生。</w:t>
            </w:r>
          </w:p>
        </w:tc>
      </w:tr>
    </w:tbl>
    <w:p>
      <w:pPr>
        <w:spacing w:after="6" w:line="132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381"/>
      </w:tblGrid>
      <w:tr>
        <w:trPr>
          <w:tblHeader w:val="true"/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先看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說明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文件用途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逐階段檢核訓練文件是否建檔，並提供文件索引、缺件及完整性覆核欄位。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怎麼使用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依實際課程／案件逐列勾核；缺件、待取得及不適用均留下原因與追蹤。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評核先看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本表的流程／檢核／追溯欄位及其後附的真實原始證據索引。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目前狀態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只有官方查核要求及空白工作稿；協會現行作法、紀錄、核定與成果均待查證或補入。</w:t>
            </w:r>
          </w:p>
        </w:tc>
      </w:tr>
    </w:tbl>
    <w:p>
      <w:pPr>
        <w:spacing w:after="10" w:line="132" w:lineRule="auto"/>
      </w:pPr>
    </w:p>
    <w:p>
      <w:pPr>
        <w:pStyle w:val="Heading2"/>
        <w:keepNext/>
        <w:keepLines/>
        <w:spacing w:before="60" w:after="40"/>
      </w:pPr>
      <w:r>
        <w:rPr>
          <w:rFonts w:ascii="Microsoft JhengHei" w:hAnsi="Microsoft JhengHei" w:eastAsia="Microsoft JhengHei"/>
          <w:b/>
          <w:color w:val="245A81"/>
          <w:sz w:val="20"/>
        </w:rPr>
        <w:t>官方查核要求</w:t>
      </w:r>
    </w:p>
    <w:p>
      <w:pPr>
        <w:keepLines/>
        <w:spacing w:before="0" w:after="40" w:line="250" w:lineRule="auto"/>
      </w:pPr>
      <w:r>
        <w:rPr>
          <w:rFonts w:ascii="Microsoft JhengHei" w:hAnsi="Microsoft JhengHei" w:eastAsia="Microsoft JhengHei"/>
          <w:b w:val="0"/>
          <w:color w:val="24364B"/>
          <w:sz w:val="17"/>
        </w:rPr>
        <w:t>完整的訓練文件建檔資料。</w:t>
      </w:r>
    </w:p>
    <w:p>
      <w:pPr>
        <w:pStyle w:val="Heading1"/>
        <w:keepNext/>
        <w:keepLines/>
        <w:spacing w:before="120" w:after="40"/>
      </w:pPr>
      <w:r>
        <w:rPr>
          <w:rFonts w:ascii="Microsoft JhengHei" w:hAnsi="Microsoft JhengHei" w:eastAsia="Microsoft JhengHei"/>
          <w:b/>
          <w:color w:val="183B63"/>
          <w:sz w:val="24"/>
        </w:rPr>
        <w:t>一、訓練文件建檔檢核清單</w:t>
      </w:r>
    </w:p>
    <w:p>
      <w:pPr>
        <w:keepLines/>
        <w:spacing w:before="0" w:after="44" w:line="250" w:lineRule="auto"/>
      </w:pPr>
      <w:r>
        <w:rPr>
          <w:rFonts w:ascii="Microsoft JhengHei" w:hAnsi="Microsoft JhengHei" w:eastAsia="Microsoft JhengHei"/>
          <w:b w:val="0"/>
          <w:color w:val="24364B"/>
          <w:sz w:val="18"/>
        </w:rPr>
        <w:t>每一訓練班次或訓練案件建立一份索引；沒有形成、未取得或不適用的文件，應分別標示「尚未形成」「待取得」或「不適用（附理由）」，不得以空白推定完成。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67"/>
        <w:gridCol w:w="4968"/>
        <w:gridCol w:w="2232"/>
        <w:gridCol w:w="1440"/>
      </w:tblGrid>
      <w:tr>
        <w:trPr>
          <w:tblHeader w:val="true"/>
          <w:cantSplit/>
        </w:trPr>
        <w:tc>
          <w:tcPr>
            <w:tcW w:type="dxa" w:w="1267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階段</w:t>
            </w:r>
          </w:p>
        </w:tc>
        <w:tc>
          <w:tcPr>
            <w:tcW w:type="dxa" w:w="496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應建檔資料</w:t>
            </w:r>
          </w:p>
        </w:tc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檢核／狀態</w:t>
            </w:r>
          </w:p>
        </w:tc>
        <w:tc>
          <w:tcPr>
            <w:tcW w:type="dxa" w:w="144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文件編號／位置</w:t>
            </w:r>
          </w:p>
        </w:tc>
      </w:tr>
      <w:tr>
        <w:trPr>
          <w:cantSplit/>
        </w:trPr>
        <w:tc>
          <w:tcPr>
            <w:tcW w:type="dxa" w:w="1267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規劃</w:t>
            </w:r>
          </w:p>
        </w:tc>
        <w:tc>
          <w:tcPr>
            <w:tcW w:type="dxa" w:w="496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需求來源、課程計畫、目標、對象、期程及審查／核定資料。</w:t>
            </w:r>
          </w:p>
        </w:tc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[待核／缺件／不適用及理由]</w:t>
            </w:r>
          </w:p>
        </w:tc>
        <w:tc>
          <w:tcPr>
            <w:tcW w:type="dxa" w:w="144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</w:tr>
      <w:tr>
        <w:trPr>
          <w:cantSplit/>
        </w:trPr>
        <w:tc>
          <w:tcPr>
            <w:tcW w:type="dxa" w:w="1267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課程設計</w:t>
            </w:r>
          </w:p>
        </w:tc>
        <w:tc>
          <w:tcPr>
            <w:tcW w:type="dxa" w:w="496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課程大綱、教材版本、教學方法、評量方式及修訂紀錄。</w:t>
            </w:r>
          </w:p>
        </w:tc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[待核／缺件／不適用及理由]</w:t>
            </w:r>
          </w:p>
        </w:tc>
        <w:tc>
          <w:tcPr>
            <w:tcW w:type="dxa" w:w="144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</w:tr>
      <w:tr>
        <w:trPr>
          <w:cantSplit/>
        </w:trPr>
        <w:tc>
          <w:tcPr>
            <w:tcW w:type="dxa" w:w="1267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師資教材</w:t>
            </w:r>
          </w:p>
        </w:tc>
        <w:tc>
          <w:tcPr>
            <w:tcW w:type="dxa" w:w="496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師資資格查核、遴聘／核定紀錄、教材來源與使用權限。</w:t>
            </w:r>
          </w:p>
        </w:tc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[待核／缺件／不適用及理由]</w:t>
            </w:r>
          </w:p>
        </w:tc>
        <w:tc>
          <w:tcPr>
            <w:tcW w:type="dxa" w:w="144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</w:tr>
      <w:tr>
        <w:trPr>
          <w:cantSplit/>
        </w:trPr>
        <w:tc>
          <w:tcPr>
            <w:tcW w:type="dxa" w:w="1267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招生與準備</w:t>
            </w:r>
          </w:p>
        </w:tc>
        <w:tc>
          <w:tcPr>
            <w:tcW w:type="dxa" w:w="496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招生資訊、遴選依據、通知、場地設備及必要安全準備。</w:t>
            </w:r>
          </w:p>
        </w:tc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[待核／缺件／不適用及理由]</w:t>
            </w:r>
          </w:p>
        </w:tc>
        <w:tc>
          <w:tcPr>
            <w:tcW w:type="dxa" w:w="144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</w:tr>
      <w:tr>
        <w:trPr>
          <w:cantSplit/>
        </w:trPr>
        <w:tc>
          <w:tcPr>
            <w:tcW w:type="dxa" w:w="1267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訓練執行</w:t>
            </w:r>
          </w:p>
        </w:tc>
        <w:tc>
          <w:tcPr>
            <w:tcW w:type="dxa" w:w="496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實際日期、課程表、出席、授課／行政紀錄及異常處理。</w:t>
            </w:r>
          </w:p>
        </w:tc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[待核／缺件／不適用及理由]</w:t>
            </w:r>
          </w:p>
        </w:tc>
        <w:tc>
          <w:tcPr>
            <w:tcW w:type="dxa" w:w="144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</w:tr>
      <w:tr>
        <w:trPr>
          <w:cantSplit/>
        </w:trPr>
        <w:tc>
          <w:tcPr>
            <w:tcW w:type="dxa" w:w="1267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評量回饋</w:t>
            </w:r>
          </w:p>
        </w:tc>
        <w:tc>
          <w:tcPr>
            <w:tcW w:type="dxa" w:w="496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評量工具、原始結果、問卷／意見原件及彙整口徑。</w:t>
            </w:r>
          </w:p>
        </w:tc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[待核／缺件／不適用及理由]</w:t>
            </w:r>
          </w:p>
        </w:tc>
        <w:tc>
          <w:tcPr>
            <w:tcW w:type="dxa" w:w="144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</w:tr>
      <w:tr>
        <w:trPr>
          <w:cantSplit/>
        </w:trPr>
        <w:tc>
          <w:tcPr>
            <w:tcW w:type="dxa" w:w="1267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結案檢討</w:t>
            </w:r>
          </w:p>
        </w:tc>
        <w:tc>
          <w:tcPr>
            <w:tcW w:type="dxa" w:w="496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資源與財務原始資料、成果證據、檢討、改善與追蹤。</w:t>
            </w:r>
          </w:p>
        </w:tc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[待核／缺件／不適用及理由]</w:t>
            </w:r>
          </w:p>
        </w:tc>
        <w:tc>
          <w:tcPr>
            <w:tcW w:type="dxa" w:w="144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</w:tr>
    </w:tbl>
    <w:p>
      <w:pPr>
        <w:spacing w:after="10" w:line="132" w:lineRule="auto"/>
      </w:pPr>
    </w:p>
    <w:p>
      <w:pPr>
        <w:pStyle w:val="Heading2"/>
        <w:keepNext/>
        <w:keepLines/>
        <w:spacing w:before="60" w:after="40"/>
      </w:pPr>
      <w:r>
        <w:rPr>
          <w:rFonts w:ascii="Microsoft JhengHei" w:hAnsi="Microsoft JhengHei" w:eastAsia="Microsoft JhengHei"/>
          <w:b/>
          <w:color w:val="245A81"/>
          <w:sz w:val="20"/>
        </w:rPr>
        <w:t>二、單件文件索引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"/>
        <w:gridCol w:w="2880"/>
        <w:gridCol w:w="1872"/>
        <w:gridCol w:w="1656"/>
        <w:gridCol w:w="2808"/>
      </w:tblGrid>
      <w:tr>
        <w:trPr>
          <w:tblHeader w:val="true"/>
          <w:cantSplit/>
        </w:trPr>
        <w:tc>
          <w:tcPr>
            <w:tcW w:type="dxa" w:w="69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序號</w:t>
            </w:r>
          </w:p>
        </w:tc>
        <w:tc>
          <w:tcPr>
            <w:tcW w:type="dxa" w:w="288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文件名稱／類別</w:t>
            </w:r>
          </w:p>
        </w:tc>
        <w:tc>
          <w:tcPr>
            <w:tcW w:type="dxa" w:w="187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形成日期／版次</w:t>
            </w:r>
          </w:p>
        </w:tc>
        <w:tc>
          <w:tcPr>
            <w:tcW w:type="dxa" w:w="165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原件／副本</w:t>
            </w:r>
          </w:p>
        </w:tc>
        <w:tc>
          <w:tcPr>
            <w:tcW w:type="dxa" w:w="280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保存位置／權限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1</w:t>
            </w:r>
          </w:p>
        </w:tc>
        <w:tc>
          <w:tcPr>
            <w:tcW w:type="dxa" w:w="288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187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[實際資料待填]</w:t>
            </w:r>
          </w:p>
        </w:tc>
        <w:tc>
          <w:tcPr>
            <w:tcW w:type="dxa" w:w="165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80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2</w:t>
            </w:r>
          </w:p>
        </w:tc>
        <w:tc>
          <w:tcPr>
            <w:tcW w:type="dxa" w:w="288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187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[實際資料待填]</w:t>
            </w:r>
          </w:p>
        </w:tc>
        <w:tc>
          <w:tcPr>
            <w:tcW w:type="dxa" w:w="165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80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3</w:t>
            </w:r>
          </w:p>
        </w:tc>
        <w:tc>
          <w:tcPr>
            <w:tcW w:type="dxa" w:w="288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187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[實際資料待填]</w:t>
            </w:r>
          </w:p>
        </w:tc>
        <w:tc>
          <w:tcPr>
            <w:tcW w:type="dxa" w:w="165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80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4</w:t>
            </w:r>
          </w:p>
        </w:tc>
        <w:tc>
          <w:tcPr>
            <w:tcW w:type="dxa" w:w="288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187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[實際資料待填]</w:t>
            </w:r>
          </w:p>
        </w:tc>
        <w:tc>
          <w:tcPr>
            <w:tcW w:type="dxa" w:w="165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80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</w:tr>
    </w:tbl>
    <w:p>
      <w:pPr>
        <w:spacing w:after="10" w:line="132" w:lineRule="auto"/>
      </w:pPr>
    </w:p>
    <w:p>
      <w:pPr>
        <w:pStyle w:val="Heading2"/>
        <w:keepNext/>
        <w:keepLines/>
        <w:spacing w:before="60" w:after="40"/>
      </w:pPr>
      <w:r>
        <w:rPr>
          <w:rFonts w:ascii="Microsoft JhengHei" w:hAnsi="Microsoft JhengHei" w:eastAsia="Microsoft JhengHei"/>
          <w:b/>
          <w:color w:val="245A81"/>
          <w:sz w:val="20"/>
        </w:rPr>
        <w:t>三、完整性覆核與缺件追蹤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2520"/>
        <w:gridCol w:w="1944"/>
        <w:gridCol w:w="2131"/>
      </w:tblGrid>
      <w:tr>
        <w:trPr>
          <w:tblHeader w:val="true"/>
          <w:cantSplit/>
        </w:trPr>
        <w:tc>
          <w:tcPr>
            <w:tcW w:type="dxa" w:w="33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覆核項目</w:t>
            </w:r>
          </w:p>
        </w:tc>
        <w:tc>
          <w:tcPr>
            <w:tcW w:type="dxa" w:w="252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覆核結果／缺漏說明</w:t>
            </w:r>
          </w:p>
        </w:tc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負責角色／期限</w:t>
            </w:r>
          </w:p>
        </w:tc>
        <w:tc>
          <w:tcPr>
            <w:tcW w:type="dxa" w:w="213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改善後證據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文件與課程／班次可正確對應</w:t>
            </w:r>
          </w:p>
        </w:tc>
        <w:tc>
          <w:tcPr>
            <w:tcW w:type="dxa" w:w="252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[待核對]</w:t>
            </w:r>
          </w:p>
        </w:tc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13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原件、版次、日期及核定狀態可辨識</w:t>
            </w:r>
          </w:p>
        </w:tc>
        <w:tc>
          <w:tcPr>
            <w:tcW w:type="dxa" w:w="252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[待核對]</w:t>
            </w:r>
          </w:p>
        </w:tc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13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個資權限、保存及調閱位置已核對</w:t>
            </w:r>
          </w:p>
        </w:tc>
        <w:tc>
          <w:tcPr>
            <w:tcW w:type="dxa" w:w="252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[待核對]</w:t>
            </w:r>
          </w:p>
        </w:tc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13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缺件、不適用理由與後續追蹤已登錄</w:t>
            </w:r>
          </w:p>
        </w:tc>
        <w:tc>
          <w:tcPr>
            <w:tcW w:type="dxa" w:w="252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[待核對]</w:t>
            </w:r>
          </w:p>
        </w:tc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13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</w:tr>
    </w:tbl>
    <w:p>
      <w:pPr>
        <w:spacing w:after="10" w:line="132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2304"/>
        <w:gridCol w:w="2664"/>
        <w:gridCol w:w="2635"/>
      </w:tblGrid>
      <w:tr>
        <w:trPr>
          <w:tblHeader w:val="true"/>
          <w:cantSplit/>
        </w:trPr>
        <w:tc>
          <w:tcPr>
            <w:tcW w:type="dxa" w:w="230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建檔承辦角色／日期</w:t>
            </w:r>
          </w:p>
        </w:tc>
        <w:tc>
          <w:tcPr>
            <w:tcW w:type="dxa" w:w="230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覆核角色／日期</w:t>
            </w:r>
          </w:p>
        </w:tc>
        <w:tc>
          <w:tcPr>
            <w:tcW w:type="dxa" w:w="266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案件／課程識別</w:t>
            </w:r>
          </w:p>
        </w:tc>
        <w:tc>
          <w:tcPr>
            <w:tcW w:type="dxa" w:w="263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清單版次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30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66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63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[待核定]</w:t>
            </w:r>
          </w:p>
        </w:tc>
      </w:tr>
    </w:tbl>
    <w:p>
      <w:pPr>
        <w:pStyle w:val="Heading1"/>
        <w:keepNext/>
        <w:keepLines/>
      </w:pPr>
      <w:r>
        <w:t>操作工具補充｜逐班訓練文件建檔清單與缺件追蹤</w:t>
      </w:r>
    </w:p>
    <w:p>
      <w:pPr>
        <w:keepLines/>
        <w:spacing w:before="40" w:after="80"/>
      </w:pPr>
      <w:r>
        <w:rPr>
          <w:rFonts w:ascii="Microsoft JhengHei" w:hAnsi="Microsoft JhengHei" w:eastAsia="Microsoft JhengHei"/>
          <w:b w:val="0"/>
          <w:i w:val="0"/>
          <w:sz w:val="18"/>
        </w:rPr>
        <w:t>本件的獨占功能是逐班／逐案文件盤點、定位、完整性覆核與缺件改善。文件分類碼依0060核定版；系統中的新增、權限、版本與備份操作依0061核定版。</w:t>
      </w:r>
    </w:p>
    <w:p>
      <w:pPr>
        <w:pStyle w:val="Heading2"/>
        <w:keepNext/>
        <w:keepLines/>
      </w:pPr>
      <w:r>
        <w:t>1. 逐班／逐案總索引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cantSplit/>
          <w:tblHeader w:val="true"/>
        </w:trPr>
        <w:tc>
          <w:tcPr>
            <w:tcW w:type="dxa" w:w="20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班次／案件ID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資料階段／必要文件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狀態與不適用理由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文件代碼／實際位置／版次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保管角色／覆核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需求／提案／核定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□待收 □已收 □缺件 □不適用：[理由]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</w:tr>
      <w:tr>
        <w:trPr>
          <w:cantSplit/>
        </w:trPr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招生／資格／學員告知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□待收 □已收 □缺件 □不適用：[理由]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師資／教材／場地安全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□待收 □已收 □缺件 □不適用：[理由]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</w:tr>
      <w:tr>
        <w:trPr>
          <w:cantSplit/>
        </w:trPr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出勤／授課／異常／變更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□待收 □已收 □缺件 □不適用：[理由]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評量／回饋／結訓／追蹤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□待收 □已收 □缺件 □不適用：[理由]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</w:tr>
      <w:tr>
        <w:trPr>
          <w:cantSplit/>
        </w:trPr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改善／複核／封存移交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□待收 □已收 □缺件 □不適用：[理由]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</w:tr>
    </w:tbl>
    <w:p>
      <w:pPr>
        <w:pStyle w:val="Heading2"/>
        <w:keepNext/>
        <w:keepLines/>
      </w:pPr>
      <w:r>
        <w:t>2. 文件狀態與生命周期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rPr>
          <w:cantSplit/>
          <w:tblHeader w:val="true"/>
        </w:trPr>
        <w:tc>
          <w:tcPr>
            <w:tcW w:type="dxa" w:w="25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階段／狀態</w:t>
            </w:r>
          </w:p>
        </w:tc>
        <w:tc>
          <w:tcPr>
            <w:tcW w:type="dxa" w:w="25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何時可標示</w:t>
            </w:r>
          </w:p>
        </w:tc>
        <w:tc>
          <w:tcPr>
            <w:tcW w:type="dxa" w:w="25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必要證據</w:t>
            </w:r>
          </w:p>
        </w:tc>
        <w:tc>
          <w:tcPr>
            <w:tcW w:type="dxa" w:w="25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下一步／限制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待收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課程／案件已啟動，預期原件尚未收齊。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清單項目及來源／責任角色。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設定追蹤期限；不可寫成已收到。</w:t>
            </w:r>
          </w:p>
        </w:tc>
      </w:tr>
      <w:tr>
        <w:trPr>
          <w:cantSplit/>
        </w:trPr>
        <w:tc>
          <w:tcPr>
            <w:tcW w:type="dxa" w:w="25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已收待核</w:t>
            </w:r>
          </w:p>
        </w:tc>
        <w:tc>
          <w:tcPr>
            <w:tcW w:type="dxa" w:w="25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已取得原件或可驗證副本，但尚未完成版本、真實性或完整性覆核。</w:t>
            </w:r>
          </w:p>
        </w:tc>
        <w:tc>
          <w:tcPr>
            <w:tcW w:type="dxa" w:w="25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實際檔名／位置／版次／來源。</w:t>
            </w:r>
          </w:p>
        </w:tc>
        <w:tc>
          <w:tcPr>
            <w:tcW w:type="dxa" w:w="25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交由覆核角色查驗後再分類。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已核可用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原件可讀、版本與證據位置已核、權限適當。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核對人、日期、結果及檔案定位。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按0060分類、0061存放／索引。</w:t>
            </w:r>
          </w:p>
        </w:tc>
      </w:tr>
      <w:tr>
        <w:trPr>
          <w:cantSplit/>
        </w:trPr>
        <w:tc>
          <w:tcPr>
            <w:tcW w:type="dxa" w:w="25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缺件／待補</w:t>
            </w:r>
          </w:p>
        </w:tc>
        <w:tc>
          <w:tcPr>
            <w:tcW w:type="dxa" w:w="25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必要項未取得、資料不完整或查無位置。</w:t>
            </w:r>
          </w:p>
        </w:tc>
        <w:tc>
          <w:tcPr>
            <w:tcW w:type="dxa" w:w="25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缺件原因、影響、追蹤角色／期限。</w:t>
            </w:r>
          </w:p>
        </w:tc>
        <w:tc>
          <w:tcPr>
            <w:tcW w:type="dxa" w:w="25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未補前不得以其他文件冒充。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不適用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經權責角色依課程情境判定不需該項。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逐項理由及判定依據／日期。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不得只因目前沒有資料就選不適用。</w:t>
            </w:r>
          </w:p>
        </w:tc>
      </w:tr>
      <w:tr>
        <w:trPr>
          <w:cantSplit/>
        </w:trPr>
        <w:tc>
          <w:tcPr>
            <w:tcW w:type="dxa" w:w="25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封存／移交</w:t>
            </w:r>
          </w:p>
        </w:tc>
        <w:tc>
          <w:tcPr>
            <w:tcW w:type="dxa" w:w="25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依核定期限或結案條件完成封存／移交。</w:t>
            </w:r>
          </w:p>
        </w:tc>
        <w:tc>
          <w:tcPr>
            <w:tcW w:type="dxa" w:w="25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移交清單、位置、權限及核對紀錄。</w:t>
            </w:r>
          </w:p>
        </w:tc>
        <w:tc>
          <w:tcPr>
            <w:tcW w:type="dxa" w:w="25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期限與權責依本會核定規則。</w:t>
            </w:r>
          </w:p>
        </w:tc>
      </w:tr>
    </w:tbl>
    <w:p>
      <w:pPr>
        <w:pStyle w:val="Heading2"/>
        <w:keepNext/>
        <w:keepLines/>
        <w:pageBreakBefore/>
      </w:pPr>
      <w:r>
        <w:t>3. 缺件追蹤及檢索完整性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cantSplit/>
          <w:tblHeader w:val="true"/>
        </w:trPr>
        <w:tc>
          <w:tcPr>
            <w:tcW w:type="dxa" w:w="20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缺件ID／項目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原因／影響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追蹤角色／期限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補件或替代判定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複核與關閉證據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[待填；說明對查核鏈影響]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[待指派／待填]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[不得以無關文件替代；不適用須有理由]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[待補]</w:t>
            </w:r>
          </w:p>
        </w:tc>
      </w:tr>
      <w:tr>
        <w:trPr>
          <w:cantSplit/>
        </w:trPr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cantSplit/>
          <w:tblHeader w:val="true"/>
        </w:trPr>
        <w:tc>
          <w:tcPr>
            <w:tcW w:type="dxa" w:w="3336"/>
            <w:vAlign w:val="center"/>
            <w:shd w:fill="1F4E78"/>
            <w:tcMar>
              <w:top w:w="25" w:type="dxa"/>
              <w:bottom w:w="25" w:type="dxa"/>
              <w:start w:w="45" w:type="dxa"/>
              <w:end w:w="45" w:type="dxa"/>
            </w:tcMar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指標</w:t>
            </w:r>
          </w:p>
        </w:tc>
        <w:tc>
          <w:tcPr>
            <w:tcW w:type="dxa" w:w="3336"/>
            <w:vAlign w:val="center"/>
            <w:shd w:fill="1F4E78"/>
            <w:tcMar>
              <w:top w:w="25" w:type="dxa"/>
              <w:bottom w:w="25" w:type="dxa"/>
              <w:start w:w="45" w:type="dxa"/>
              <w:end w:w="45" w:type="dxa"/>
            </w:tcMar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公式／操作方法</w:t>
            </w:r>
          </w:p>
        </w:tc>
        <w:tc>
          <w:tcPr>
            <w:tcW w:type="dxa" w:w="3336"/>
            <w:vAlign w:val="center"/>
            <w:shd w:fill="1F4E78"/>
            <w:tcMar>
              <w:top w:w="25" w:type="dxa"/>
              <w:bottom w:w="25" w:type="dxa"/>
              <w:start w:w="45" w:type="dxa"/>
              <w:end w:w="45" w:type="dxa"/>
            </w:tcMar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結果與限制</w:t>
            </w:r>
          </w:p>
        </w:tc>
      </w:tr>
      <w:tr>
        <w:trPr>
          <w:cantSplit/>
        </w:trPr>
        <w:tc>
          <w:tcPr>
            <w:tcW w:type="dxa" w:w="3336"/>
            <w:vAlign w:val="center"/>
            <w:tcMar>
              <w:top w:w="25" w:type="dxa"/>
              <w:bottom w:w="25" w:type="dxa"/>
              <w:start w:w="45" w:type="dxa"/>
              <w:end w:w="45" w:type="dxa"/>
            </w:tcMar>
          </w:tcPr>
          <w:p>
            <w:pPr>
              <w:keepNext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建檔完整率</w:t>
            </w:r>
          </w:p>
        </w:tc>
        <w:tc>
          <w:tcPr>
            <w:tcW w:type="dxa" w:w="3336"/>
            <w:vAlign w:val="center"/>
            <w:tcMar>
              <w:top w:w="25" w:type="dxa"/>
              <w:bottom w:w="25" w:type="dxa"/>
              <w:start w:w="45" w:type="dxa"/>
              <w:end w:w="45" w:type="dxa"/>
            </w:tcMar>
          </w:tcPr>
          <w:p>
            <w:pPr>
              <w:keepNext/>
              <w:spacing w:before="0"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已核可用文件項數 ÷ 已判定適用文件項數 × 100%</w:t>
            </w:r>
          </w:p>
        </w:tc>
        <w:tc>
          <w:tcPr>
            <w:tcW w:type="dxa" w:w="3336"/>
            <w:vAlign w:val="center"/>
            <w:tcMar>
              <w:top w:w="25" w:type="dxa"/>
              <w:bottom w:w="25" w:type="dxa"/>
              <w:start w:w="45" w:type="dxa"/>
              <w:end w:w="45" w:type="dxa"/>
            </w:tcMar>
          </w:tcPr>
          <w:p>
            <w:pPr>
              <w:keepNext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逐項排除需有不適用理由；分母0不適用。</w:t>
            </w:r>
          </w:p>
        </w:tc>
      </w:tr>
      <w:tr>
        <w:trPr>
          <w:cantSplit/>
        </w:trPr>
        <w:tc>
          <w:tcPr>
            <w:tcW w:type="dxa" w:w="3336"/>
            <w:vAlign w:val="center"/>
            <w:shd w:fill="F2F6FA"/>
            <w:tcMar>
              <w:top w:w="25" w:type="dxa"/>
              <w:bottom w:w="25" w:type="dxa"/>
              <w:start w:w="45" w:type="dxa"/>
              <w:end w:w="45" w:type="dxa"/>
            </w:tcMar>
          </w:tcPr>
          <w:p>
            <w:pPr>
              <w:keepNext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缺件逾期率</w:t>
            </w:r>
          </w:p>
        </w:tc>
        <w:tc>
          <w:tcPr>
            <w:tcW w:type="dxa" w:w="3336"/>
            <w:vAlign w:val="center"/>
            <w:shd w:fill="F2F6FA"/>
            <w:tcMar>
              <w:top w:w="25" w:type="dxa"/>
              <w:bottom w:w="25" w:type="dxa"/>
              <w:start w:w="45" w:type="dxa"/>
              <w:end w:w="45" w:type="dxa"/>
            </w:tcMar>
          </w:tcPr>
          <w:p>
            <w:pPr>
              <w:keepNext/>
              <w:spacing w:before="0"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已逾期未關閉缺件數 ÷ 到期缺件總數 × 100%</w:t>
            </w:r>
          </w:p>
        </w:tc>
        <w:tc>
          <w:tcPr>
            <w:tcW w:type="dxa" w:w="3336"/>
            <w:vAlign w:val="center"/>
            <w:shd w:fill="F2F6FA"/>
            <w:tcMar>
              <w:top w:w="25" w:type="dxa"/>
              <w:bottom w:w="25" w:type="dxa"/>
              <w:start w:w="45" w:type="dxa"/>
              <w:end w:w="45" w:type="dxa"/>
            </w:tcMar>
          </w:tcPr>
          <w:p>
            <w:pPr>
              <w:keepNext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未到期缺件不列分母；說明統計日。</w:t>
            </w:r>
          </w:p>
        </w:tc>
      </w:tr>
      <w:tr>
        <w:trPr>
          <w:cantSplit/>
        </w:trPr>
        <w:tc>
          <w:tcPr>
            <w:tcW w:type="dxa" w:w="3336"/>
            <w:vAlign w:val="center"/>
            <w:tcMar>
              <w:top w:w="25" w:type="dxa"/>
              <w:bottom w:w="25" w:type="dxa"/>
              <w:start w:w="45" w:type="dxa"/>
              <w:end w:w="45" w:type="dxa"/>
            </w:tcMar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檢索可用率</w:t>
            </w:r>
          </w:p>
        </w:tc>
        <w:tc>
          <w:tcPr>
            <w:tcW w:type="dxa" w:w="3336"/>
            <w:vAlign w:val="center"/>
            <w:tcMar>
              <w:top w:w="25" w:type="dxa"/>
              <w:bottom w:w="25" w:type="dxa"/>
              <w:start w:w="45" w:type="dxa"/>
              <w:end w:w="45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抽查中找到正確、可讀且權限適當文件數 ÷ 有效抽查數 × 100%</w:t>
            </w:r>
          </w:p>
        </w:tc>
        <w:tc>
          <w:tcPr>
            <w:tcW w:type="dxa" w:w="3336"/>
            <w:vAlign w:val="center"/>
            <w:tcMar>
              <w:top w:w="25" w:type="dxa"/>
              <w:bottom w:w="25" w:type="dxa"/>
              <w:start w:w="45" w:type="dxa"/>
              <w:end w:w="45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[待實測]；漏件、錯版或越權皆列失敗；附抽測清單。</w:t>
            </w:r>
          </w:p>
        </w:tc>
      </w:tr>
    </w:tbl>
    <w:p>
      <w:pPr>
        <w:spacing w:after="10" w:line="132" w:lineRule="auto"/>
      </w:pPr>
    </w:p>
    <w:sectPr w:rsidR="00FC693F" w:rsidRPr="0006063C" w:rsidSect="00034616">
      <w:headerReference w:type="default" r:id="rId9"/>
      <w:footerReference w:type="default" r:id="rId10"/>
      <w:pgSz w:w="11909" w:h="16834"/>
      <w:pgMar w:top="835" w:right="950" w:bottom="835" w:left="950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待本會填實、審議核定後使用｜第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社團法人屏東縣原始點關懷協會｜文件工作稿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0" w:lineRule="auto"/>
    </w:pPr>
    <w:rPr>
      <w:rFonts w:ascii="Microsoft JhengHei" w:hAnsi="Microsoft JhengHei" w:eastAsia="Microsoft JhengHei"/>
      <w:color w:val="24364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