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目標市場與顧客價值具體提升成效分析報告</w:t>
      </w:r>
    </w:p>
    <w:p>
      <w:pPr>
        <w:spacing w:after="140"/>
      </w:pPr>
      <w:r>
        <w:rPr>
          <w:rFonts w:ascii="Microsoft JhengHei" w:hAnsi="Microsoft JhengHei" w:eastAsia="Microsoft JhengHei"/>
          <w:b w:val="0"/>
          <w:color w:val="58718A"/>
          <w:sz w:val="19"/>
        </w:rPr>
        <w:t>社團法人屏東縣原始點關懷協會｜可編輯工作稿／待補真實資料</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先看項目</w:t>
            </w:r>
          </w:p>
        </w:tc>
        <w:tc>
          <w:tcPr>
            <w:tcW w:type="dxa" w:w="79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說明</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這份文件要證明什麼？</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用可驗證的經營績效資料說明目標市場表現及顧客獲得的價值是否有具體提升。</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怎麼使用？</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分開界定目標市場與顧客價值指標，設定同口徑基準、資料期間、驗證方法及限制。</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先看哪裡？</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先看兩類價值指標的定義、基準與實際來源，再讀差異、原因與決策。</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目前資料狀態</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目前未取得本會三年市場與顧客成果原始數據；沒有任何提升幅度或成效宣稱。</w:t>
            </w:r>
          </w:p>
        </w:tc>
      </w:tr>
    </w:tbl>
    <w:p>
      <w:pPr>
        <w:spacing w:after="0"/>
      </w:pPr>
    </w:p>
    <w:p>
      <w:pPr>
        <w:keepLines/>
      </w:pPr>
      <w:r>
        <w:rPr>
          <w:rFonts w:ascii="Microsoft JhengHei" w:hAnsi="Microsoft JhengHei" w:eastAsia="Microsoft JhengHei"/>
          <w:b w:val="0"/>
          <w:color w:val="24364B"/>
          <w:sz w:val="22"/>
        </w:rPr>
        <w:t>對應查核項目：經營績效中之數據呈現目標市場及顧客價值均有顯著具體的提升績效。</w:t>
      </w:r>
    </w:p>
    <w:p>
      <w:pPr>
        <w:keepLines/>
      </w:pPr>
      <w:r>
        <w:rPr>
          <w:rFonts w:ascii="Microsoft JhengHei" w:hAnsi="Microsoft JhengHei" w:eastAsia="Microsoft JhengHei"/>
          <w:b w:val="0"/>
          <w:color w:val="24364B"/>
          <w:sz w:val="22"/>
        </w:rPr>
        <w:t>只記錄有來源可回查的實際資料；未取得、未回覆、不適用與尚未辦理分開標示。不同期間須使用可比口徑；不得以目標、推估或他機構資料代替本會成果。個人資料用代碼並限制存取。</w:t>
      </w:r>
    </w:p>
    <w:p>
      <w:pPr>
        <w:pStyle w:val="Heading2"/>
        <w:keepNext/>
      </w:pPr>
      <w:r>
        <w:rPr>
          <w:rFonts w:ascii="Microsoft JhengHei" w:hAnsi="Microsoft JhengHei" w:eastAsia="Microsoft JhengHei"/>
          <w:b/>
          <w:color w:val="245A81"/>
          <w:sz w:val="24"/>
        </w:rPr>
        <w:t>一、分析設計與價值定義</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實際資料／待填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目標市場與對象</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[待補：範圍、區域／對象、納入排除規則及期間]</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市場表現指標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[待補：例如可證明的觸及、服務量或合作變化；須有來源]</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顧客價值指標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[待補：顧客可觀察獲益及測量方式；不得以宣傳語代替]</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基準與比較方式</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[待補：基準年度、比較年度、資料可比性與外部因素]</w:t>
            </w:r>
          </w:p>
        </w:tc>
      </w:tr>
    </w:tbl>
    <w:p>
      <w:pPr>
        <w:spacing w:after="0"/>
      </w:pPr>
    </w:p>
    <w:p>
      <w:pPr>
        <w:pStyle w:val="Heading2"/>
        <w:keepNext/>
      </w:pPr>
      <w:r>
        <w:rPr>
          <w:rFonts w:ascii="Microsoft JhengHei" w:hAnsi="Microsoft JhengHei" w:eastAsia="Microsoft JhengHei"/>
          <w:b/>
          <w:color w:val="245A81"/>
          <w:sz w:val="24"/>
        </w:rPr>
        <w:t>二、績效資料與來源</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面向／指標</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基準值</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比較值</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差異／變化</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原始來源／覆核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目標市場表現</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顧客實際價值</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服務或合作成果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[待補／不適用需說明]</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pPr>
    </w:p>
    <w:p>
      <w:r>
        <w:br w:type="page"/>
      </w:r>
    </w:p>
    <w:p>
      <w:pPr>
        <w:pStyle w:val="Heading1"/>
        <w:keepNext/>
      </w:pPr>
      <w:r>
        <w:rPr>
          <w:rFonts w:ascii="Microsoft JhengHei" w:hAnsi="Microsoft JhengHei" w:eastAsia="Microsoft JhengHei"/>
          <w:b/>
          <w:color w:val="183B63"/>
          <w:sz w:val="30"/>
        </w:rPr>
        <w:t>結果判讀與後續處理</w:t>
      </w:r>
    </w:p>
    <w:p>
      <w:pPr>
        <w:pStyle w:val="Heading2"/>
        <w:keepNext/>
      </w:pPr>
      <w:r>
        <w:rPr>
          <w:rFonts w:ascii="Microsoft JhengHei" w:hAnsi="Microsoft JhengHei" w:eastAsia="Microsoft JhengHei"/>
          <w:b/>
          <w:color w:val="245A81"/>
          <w:sz w:val="24"/>
        </w:rPr>
        <w:t>三、計算、驗證與歸因</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方法及紀錄</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計算口徑</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差額＝比較值－基準值；變化率＝差額÷基準值。基準為零、缺值或指標不宜計百分比時改列絕對值並說明。</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顯著／具體判讀</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先定義有實務意義的變化及資料品質門檻，再與來源、樣本、趨勢及原始記錄核對；不得事後挑選有利指標。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其他影響因素</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[待補：市場、政策、資源、人員或課程內容變動及其可能影響]。</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訓練關聯與限制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[待補：說明關聯證據、其他原因、樣本限制；不得僅憑前後差異歸因訓練]。</w:t>
            </w:r>
          </w:p>
        </w:tc>
      </w:tr>
    </w:tbl>
    <w:p>
      <w:pPr>
        <w:spacing w:after="0"/>
      </w:pPr>
    </w:p>
    <w:p>
      <w:pPr>
        <w:pStyle w:val="Heading2"/>
        <w:keepNext/>
      </w:pPr>
      <w:r>
        <w:rPr>
          <w:rFonts w:ascii="Microsoft JhengHei" w:hAnsi="Microsoft JhengHei" w:eastAsia="Microsoft JhengHei"/>
          <w:b/>
          <w:color w:val="245A81"/>
          <w:sz w:val="24"/>
        </w:rPr>
        <w:t>四、結論與改善決定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實際資料／待填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市場與顧客結論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[待填：逐一判定提升／無變化／下降／證據不足]。</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需改善事項</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[待補：措施、負責人、期限與下一次資料檢查]。</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資料限制與附件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[待補：缺值、未回覆、來源位置及交叉參照文件]。</w:t>
            </w:r>
          </w:p>
        </w:tc>
      </w:tr>
    </w:tbl>
    <w:p>
      <w:pPr>
        <w:spacing w:after="0"/>
      </w:pPr>
    </w:p>
    <w:p>
      <w:pPr>
        <w:pStyle w:val="Heading2"/>
        <w:keepNext/>
      </w:pPr>
      <w:r>
        <w:rPr>
          <w:rFonts w:ascii="Microsoft JhengHei" w:hAnsi="Microsoft JhengHei" w:eastAsia="Microsoft JhengHei"/>
          <w:b/>
          <w:color w:val="245A81"/>
          <w:sz w:val="24"/>
        </w:rPr>
        <w:t>資料來源與核對索引</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43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檔名／位置／頁次</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官方查核項目</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已核對原始查核表</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第8–9頁，依各項清冊頁次</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目標市場範圍與年度經營資料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顧客價值指標原始紀錄及佐證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bl>
    <w:p>
      <w:pPr>
        <w:spacing w:after="0"/>
      </w:pPr>
    </w:p>
    <w:p>
      <w:pPr>
        <w:pStyle w:val="Heading2"/>
        <w:keepNext/>
      </w:pPr>
      <w:r>
        <w:rPr>
          <w:rFonts w:ascii="Microsoft JhengHei" w:hAnsi="Microsoft JhengHei" w:eastAsia="Microsoft JhengHei"/>
          <w:b/>
          <w:color w:val="245A81"/>
          <w:sz w:val="24"/>
        </w:rPr>
        <w:t>填寫確認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承辦人／日期</w:t>
            </w:r>
          </w:p>
        </w:tc>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覆核人／日期</w:t>
            </w:r>
          </w:p>
        </w:tc>
        <w:tc>
          <w:tcPr>
            <w:tcW w:type="dxa" w:w="42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資料缺漏及後續處理</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[待補資料／責任角色／期限]</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資料完整性：□完整 □待補</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授權狀態：□已核 □待核 □不適用</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目標市場與顧客價值具體提升成效分析報告</dc:title>
  <dc:subject>TTQS指標19成果佐證工作稿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