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0"/>
      </w:pPr>
      <w:r>
        <w:rPr>
          <w:rFonts w:ascii="Microsoft JhengHei" w:hAnsi="Microsoft JhengHei" w:eastAsia="Microsoft JhengHei"/>
          <w:b/>
          <w:color w:val="183B63"/>
          <w:sz w:val="36"/>
        </w:rPr>
        <w:t>講師遴聘、評選與聘書管理程序草案</w:t>
      </w:r>
    </w:p>
    <w:p>
      <w:pPr>
        <w:spacing w:after="60"/>
      </w:pPr>
      <w:r>
        <w:rPr>
          <w:rFonts w:ascii="Microsoft JhengHei" w:hAnsi="Microsoft JhengHei" w:eastAsia="Microsoft JhengHei"/>
          <w:i/>
          <w:color w:val="566575"/>
          <w:sz w:val="17"/>
        </w:rPr>
        <w:t>填寫入口：先看本文件快速閱讀，再依後段「操作工具補充」完成專屬表單、判斷與追蹤。</w:t>
      </w:r>
    </w:p>
    <w:p>
      <w:pPr>
        <w:keepNext/>
        <w:keepLines/>
        <w:spacing w:before="0" w:after="40" w:line="250" w:lineRule="auto"/>
      </w:pPr>
      <w:r>
        <w:rPr>
          <w:rFonts w:ascii="Microsoft JhengHei" w:hAnsi="Microsoft JhengHei" w:eastAsia="Microsoft JhengHei"/>
          <w:b w:val="0"/>
          <w:color w:val="245A81"/>
          <w:sz w:val="17"/>
        </w:rPr>
        <w:t>I12-E03｜指標 12｜草案：待確認</w:t>
      </w:r>
    </w:p>
    <w:tbl>
      <w:tblPr>
        <w:tblStyle w:val="TableGrid"/>
        <w:tblW w:type="auto" w:w="0"/>
        <w:tblLook w:firstColumn="1" w:firstRow="1" w:lastColumn="0" w:lastRow="0" w:noHBand="0" w:noVBand="1" w:val="04A0"/>
      </w:tblPr>
      <w:tblGrid>
        <w:gridCol w:w="10009"/>
      </w:tblGrid>
      <w:tr>
        <w:trPr>
          <w:cantSplit/>
          <w:tblHeader w:val="true"/>
        </w:trPr>
        <w:tc>
          <w:tcPr>
            <w:tcW w:type="dxa" w:w="10009"/>
            <w:vAlign w:val="center"/>
            <w:tcMar>
              <w:top w:w="55" w:type="dxa"/>
              <w:start w:w="72" w:type="dxa"/>
              <w:bottom w:w="55" w:type="dxa"/>
              <w:end w:w="72" w:type="dxa"/>
            </w:tcMar>
            <w:shd w:fill="FFF2CC"/>
          </w:tcPr>
          <w:p>
            <w:pPr>
              <w:keepNext/>
              <w:keepLines/>
              <w:spacing w:before="0" w:after="0" w:line="245" w:lineRule="auto"/>
            </w:pPr>
            <w:r/>
            <w:r>
              <w:rPr>
                <w:rFonts w:ascii="Microsoft JhengHei" w:hAnsi="Microsoft JhengHei" w:eastAsia="Microsoft JhengHei"/>
                <w:b/>
                <w:color w:val="183B63"/>
                <w:sz w:val="16"/>
              </w:rPr>
              <w:t>工作稿｜尚待填入本會真實資料並完成審議核定；不代表課程已辦理、流程已核准、聘任已成立、證明已取得或成果已發生。</w:t>
            </w:r>
          </w:p>
        </w:tc>
      </w:tr>
    </w:tbl>
    <w:p>
      <w:pPr>
        <w:spacing w:after="6" w:line="132" w:lineRule="auto"/>
      </w:pPr>
    </w:p>
    <w:tbl>
      <w:tblPr>
        <w:tblStyle w:val="TableGrid"/>
        <w:tblW w:type="auto" w:w="0"/>
        <w:jc w:val="center"/>
        <w:tblLayout w:type="fixed"/>
        <w:tblLook w:firstColumn="1" w:firstRow="1" w:lastColumn="0" w:lastRow="0" w:noHBand="0" w:noVBand="1" w:val="04A0"/>
      </w:tblPr>
      <w:tblGrid>
        <w:gridCol w:w="1512"/>
        <w:gridCol w:w="8381"/>
      </w:tblGrid>
      <w:tr>
        <w:trPr>
          <w:tblHeader w:val="true"/>
          <w:cantSplit/>
        </w:trPr>
        <w:tc>
          <w:tcPr>
            <w:tcW w:type="dxa" w:w="1512"/>
            <w:vAlign w:val="center"/>
            <w:tcMar>
              <w:top w:w="55" w:type="dxa"/>
              <w:start w:w="72" w:type="dxa"/>
              <w:bottom w:w="55" w:type="dxa"/>
              <w:end w:w="72" w:type="dxa"/>
            </w:tcMar>
            <w:shd w:fill="183B63"/>
          </w:tcPr>
          <w:p>
            <w:pPr>
              <w:keepNext/>
              <w:keepLines/>
              <w:spacing w:before="0" w:after="0" w:line="245" w:lineRule="auto"/>
            </w:pPr>
            <w:r/>
            <w:r>
              <w:rPr>
                <w:rFonts w:ascii="Microsoft JhengHei" w:hAnsi="Microsoft JhengHei" w:eastAsia="Microsoft JhengHei"/>
                <w:b/>
                <w:color w:val="FFFFFF"/>
                <w:sz w:val="15"/>
              </w:rPr>
              <w:t>先看</w:t>
            </w:r>
          </w:p>
        </w:tc>
        <w:tc>
          <w:tcPr>
            <w:tcW w:type="dxa" w:w="8381"/>
            <w:vAlign w:val="center"/>
            <w:tcMar>
              <w:top w:w="55" w:type="dxa"/>
              <w:start w:w="72" w:type="dxa"/>
              <w:bottom w:w="55" w:type="dxa"/>
              <w:end w:w="72" w:type="dxa"/>
            </w:tcMar>
            <w:shd w:fill="183B63"/>
          </w:tcPr>
          <w:p>
            <w:pPr>
              <w:keepNext/>
              <w:keepLines/>
              <w:spacing w:before="0" w:after="0" w:line="245" w:lineRule="auto"/>
            </w:pPr>
            <w:r/>
            <w:r>
              <w:rPr>
                <w:rFonts w:ascii="Microsoft JhengHei" w:hAnsi="Microsoft JhengHei" w:eastAsia="Microsoft JhengHei"/>
                <w:b/>
                <w:color w:val="FFFFFF"/>
                <w:sz w:val="15"/>
              </w:rPr>
              <w:t>說明</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文件用途</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規範講師遴聘標準、評選、委員會核定及聘書簽發前的文件控制。</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怎麼使用</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按流程保存候選資格原件、事前標準、迴避、審議與核定資料；附未簽發的空白聘書欄位。</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評核先看</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本表的流程／檢核／追溯欄位及其後附的真實原始證據索引。</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目前狀態</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只有官方查核要求及空白工作稿；協會現行作法、紀錄、核定與成果均待查證或補入。</w:t>
            </w:r>
          </w:p>
        </w:tc>
      </w:tr>
    </w:tbl>
    <w:p>
      <w:pPr>
        <w:spacing w:after="10" w:line="132" w:lineRule="auto"/>
      </w:pPr>
    </w:p>
    <w:p>
      <w:pPr>
        <w:pStyle w:val="Heading2"/>
        <w:keepNext/>
        <w:keepLines/>
        <w:spacing w:before="60" w:after="40"/>
      </w:pPr>
      <w:r>
        <w:rPr>
          <w:rFonts w:ascii="Microsoft JhengHei" w:hAnsi="Microsoft JhengHei" w:eastAsia="Microsoft JhengHei"/>
          <w:b/>
          <w:color w:val="245A81"/>
          <w:sz w:val="20"/>
        </w:rPr>
        <w:t>官方查核要求</w:t>
      </w:r>
    </w:p>
    <w:p>
      <w:pPr>
        <w:keepLines/>
        <w:spacing w:before="0" w:after="40" w:line="250" w:lineRule="auto"/>
      </w:pPr>
      <w:r>
        <w:rPr>
          <w:rFonts w:ascii="Microsoft JhengHei" w:hAnsi="Microsoft JhengHei" w:eastAsia="Microsoft JhengHei"/>
          <w:b w:val="0"/>
          <w:color w:val="24364B"/>
          <w:sz w:val="17"/>
        </w:rPr>
        <w:t>講師的遴聘依師資遴選標準及流程評選並經訓練管理委員會通過後發給聘書。</w:t>
      </w:r>
    </w:p>
    <w:p>
      <w:pPr>
        <w:pStyle w:val="Heading1"/>
        <w:keepNext/>
        <w:keepLines/>
        <w:spacing w:before="120" w:after="40"/>
      </w:pPr>
      <w:r>
        <w:rPr>
          <w:rFonts w:ascii="Microsoft JhengHei" w:hAnsi="Microsoft JhengHei" w:eastAsia="Microsoft JhengHei"/>
          <w:b/>
          <w:color w:val="183B63"/>
          <w:sz w:val="24"/>
        </w:rPr>
        <w:t>一、師資遴聘流程（草案）</w:t>
      </w:r>
    </w:p>
    <w:tbl>
      <w:tblPr>
        <w:tblStyle w:val="TableGrid"/>
        <w:tblW w:type="auto" w:w="0"/>
        <w:jc w:val="center"/>
        <w:tblLayout w:type="fixed"/>
        <w:tblLook w:firstColumn="1" w:firstRow="1" w:lastColumn="0" w:lastRow="0" w:noHBand="0" w:noVBand="1" w:val="04A0"/>
      </w:tblPr>
      <w:tblGrid>
        <w:gridCol w:w="1512"/>
        <w:gridCol w:w="5213"/>
        <w:gridCol w:w="3168"/>
      </w:tblGrid>
      <w:tr>
        <w:trPr>
          <w:tblHeader w:val="true"/>
          <w:cantSplit/>
        </w:trPr>
        <w:tc>
          <w:tcPr>
            <w:tcW w:type="dxa" w:w="1512"/>
            <w:vAlign w:val="center"/>
            <w:tcMar>
              <w:top w:w="55" w:type="dxa"/>
              <w:start w:w="72" w:type="dxa"/>
              <w:bottom w:w="55" w:type="dxa"/>
              <w:end w:w="72" w:type="dxa"/>
            </w:tcMar>
            <w:shd w:fill="183B63"/>
          </w:tcPr>
          <w:p>
            <w:pPr>
              <w:keepNext/>
              <w:keepLines/>
              <w:spacing w:before="0" w:after="0" w:line="245" w:lineRule="auto"/>
            </w:pPr>
            <w:r/>
            <w:r>
              <w:rPr>
                <w:rFonts w:ascii="Microsoft JhengHei" w:hAnsi="Microsoft JhengHei" w:eastAsia="Microsoft JhengHei"/>
                <w:b/>
                <w:color w:val="FFFFFF"/>
                <w:sz w:val="14"/>
              </w:rPr>
              <w:t>階段</w:t>
            </w:r>
          </w:p>
        </w:tc>
        <w:tc>
          <w:tcPr>
            <w:tcW w:type="dxa" w:w="5213"/>
            <w:vAlign w:val="center"/>
            <w:tcMar>
              <w:top w:w="55" w:type="dxa"/>
              <w:start w:w="72" w:type="dxa"/>
              <w:bottom w:w="55" w:type="dxa"/>
              <w:end w:w="72" w:type="dxa"/>
            </w:tcMar>
            <w:shd w:fill="183B63"/>
          </w:tcPr>
          <w:p>
            <w:pPr>
              <w:keepNext/>
              <w:keepLines/>
              <w:spacing w:before="0" w:after="0" w:line="245" w:lineRule="auto"/>
            </w:pPr>
            <w:r/>
            <w:r>
              <w:rPr>
                <w:rFonts w:ascii="Microsoft JhengHei" w:hAnsi="Microsoft JhengHei" w:eastAsia="Microsoft JhengHei"/>
                <w:b/>
                <w:color w:val="FFFFFF"/>
                <w:sz w:val="14"/>
              </w:rPr>
              <w:t>檢核事項</w:t>
            </w:r>
          </w:p>
        </w:tc>
        <w:tc>
          <w:tcPr>
            <w:tcW w:type="dxa" w:w="3168"/>
            <w:vAlign w:val="center"/>
            <w:tcMar>
              <w:top w:w="55" w:type="dxa"/>
              <w:start w:w="72" w:type="dxa"/>
              <w:bottom w:w="55" w:type="dxa"/>
              <w:end w:w="72" w:type="dxa"/>
            </w:tcMar>
            <w:shd w:fill="183B63"/>
          </w:tcPr>
          <w:p>
            <w:pPr>
              <w:keepNext/>
              <w:keepLines/>
              <w:spacing w:before="0" w:after="0" w:line="245" w:lineRule="auto"/>
            </w:pPr>
            <w:r/>
            <w:r>
              <w:rPr>
                <w:rFonts w:ascii="Microsoft JhengHei" w:hAnsi="Microsoft JhengHei" w:eastAsia="Microsoft JhengHei"/>
                <w:b/>
                <w:color w:val="FFFFFF"/>
                <w:sz w:val="14"/>
              </w:rPr>
              <w:t>應留紀錄</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需求</w:t>
            </w:r>
          </w:p>
        </w:tc>
        <w:tc>
          <w:tcPr>
            <w:tcW w:type="dxa" w:w="5213"/>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明確課程目標、授課單元、專長及必要授課條件。</w:t>
            </w:r>
          </w:p>
        </w:tc>
        <w:tc>
          <w:tcPr>
            <w:tcW w:type="dxa" w:w="316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需求單與核定版本</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遴選</w:t>
            </w:r>
          </w:p>
        </w:tc>
        <w:tc>
          <w:tcPr>
            <w:tcW w:type="dxa" w:w="5213"/>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依事前核定標準查核資格、專長、教學能力及安全要求。</w:t>
            </w:r>
          </w:p>
        </w:tc>
        <w:tc>
          <w:tcPr>
            <w:tcW w:type="dxa" w:w="316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候選資料、查核來源</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評選</w:t>
            </w:r>
          </w:p>
        </w:tc>
        <w:tc>
          <w:tcPr>
            <w:tcW w:type="dxa" w:w="5213"/>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記錄評分依據、利益衝突揭露、討論與未採納理由。</w:t>
            </w:r>
          </w:p>
        </w:tc>
        <w:tc>
          <w:tcPr>
            <w:tcW w:type="dxa" w:w="316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評選表及迴避紀錄</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審議核定</w:t>
            </w:r>
          </w:p>
        </w:tc>
        <w:tc>
          <w:tcPr>
            <w:tcW w:type="dxa" w:w="5213"/>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依本會權責完成委員會審查並留存決議。</w:t>
            </w:r>
          </w:p>
        </w:tc>
        <w:tc>
          <w:tcPr>
            <w:tcW w:type="dxa" w:w="316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會議紀錄、核定日期</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聘任與歸檔</w:t>
            </w:r>
          </w:p>
        </w:tc>
        <w:tc>
          <w:tcPr>
            <w:tcW w:type="dxa" w:w="5213"/>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核定後確認聘任條件並發出正式聘書；未簽發前不得視為聘任成立。</w:t>
            </w:r>
          </w:p>
        </w:tc>
        <w:tc>
          <w:tcPr>
            <w:tcW w:type="dxa" w:w="316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雙方確認文件、聘書及保存索引</w:t>
            </w:r>
          </w:p>
        </w:tc>
      </w:tr>
    </w:tbl>
    <w:p>
      <w:pPr>
        <w:spacing w:after="10" w:line="132" w:lineRule="auto"/>
      </w:pPr>
    </w:p>
    <w:p>
      <w:pPr>
        <w:pStyle w:val="Heading1"/>
        <w:keepNext/>
        <w:keepLines/>
        <w:spacing w:before="120" w:after="40"/>
      </w:pPr>
      <w:r>
        <w:rPr>
          <w:rFonts w:ascii="Microsoft JhengHei" w:hAnsi="Microsoft JhengHei" w:eastAsia="Microsoft JhengHei"/>
          <w:b/>
          <w:color w:val="183B63"/>
          <w:sz w:val="24"/>
        </w:rPr>
        <w:t>二、候選評估與利益迴避</w:t>
      </w:r>
    </w:p>
    <w:tbl>
      <w:tblPr>
        <w:tblStyle w:val="TableGrid"/>
        <w:tblW w:type="auto" w:w="0"/>
        <w:jc w:val="center"/>
        <w:tblLayout w:type="fixed"/>
        <w:tblLook w:firstColumn="1" w:firstRow="1" w:lastColumn="0" w:lastRow="0" w:noHBand="0" w:noVBand="1" w:val="04A0"/>
      </w:tblPr>
      <w:tblGrid>
        <w:gridCol w:w="2376"/>
        <w:gridCol w:w="3024"/>
        <w:gridCol w:w="1944"/>
        <w:gridCol w:w="2549"/>
      </w:tblGrid>
      <w:tr>
        <w:trPr>
          <w:tblHeader w:val="true"/>
          <w:cantSplit/>
        </w:trPr>
        <w:tc>
          <w:tcPr>
            <w:tcW w:type="dxa" w:w="2376"/>
            <w:vAlign w:val="center"/>
            <w:tcMar>
              <w:top w:w="55" w:type="dxa"/>
              <w:start w:w="72" w:type="dxa"/>
              <w:bottom w:w="55" w:type="dxa"/>
              <w:end w:w="72" w:type="dxa"/>
            </w:tcMar>
            <w:shd w:fill="183B63"/>
          </w:tcPr>
          <w:p>
            <w:pPr>
              <w:keepNext/>
              <w:keepLines/>
              <w:spacing w:before="0" w:after="0" w:line="245" w:lineRule="auto"/>
            </w:pPr>
            <w:r/>
            <w:r>
              <w:rPr>
                <w:rFonts w:ascii="Microsoft JhengHei" w:hAnsi="Microsoft JhengHei" w:eastAsia="Microsoft JhengHei"/>
                <w:b/>
                <w:color w:val="FFFFFF"/>
                <w:sz w:val="14"/>
              </w:rPr>
              <w:t>評估面向</w:t>
            </w:r>
          </w:p>
        </w:tc>
        <w:tc>
          <w:tcPr>
            <w:tcW w:type="dxa" w:w="3024"/>
            <w:vAlign w:val="center"/>
            <w:tcMar>
              <w:top w:w="55" w:type="dxa"/>
              <w:start w:w="72" w:type="dxa"/>
              <w:bottom w:w="55" w:type="dxa"/>
              <w:end w:w="72" w:type="dxa"/>
            </w:tcMar>
            <w:shd w:fill="183B63"/>
          </w:tcPr>
          <w:p>
            <w:pPr>
              <w:keepNext/>
              <w:keepLines/>
              <w:spacing w:before="0" w:after="0" w:line="245" w:lineRule="auto"/>
            </w:pPr>
            <w:r/>
            <w:r>
              <w:rPr>
                <w:rFonts w:ascii="Microsoft JhengHei" w:hAnsi="Microsoft JhengHei" w:eastAsia="Microsoft JhengHei"/>
                <w:b/>
                <w:color w:val="FFFFFF"/>
                <w:sz w:val="14"/>
              </w:rPr>
              <w:t>可核對資料</w:t>
            </w:r>
          </w:p>
        </w:tc>
        <w:tc>
          <w:tcPr>
            <w:tcW w:type="dxa" w:w="1944"/>
            <w:vAlign w:val="center"/>
            <w:tcMar>
              <w:top w:w="55" w:type="dxa"/>
              <w:start w:w="72" w:type="dxa"/>
              <w:bottom w:w="55" w:type="dxa"/>
              <w:end w:w="72" w:type="dxa"/>
            </w:tcMar>
            <w:shd w:fill="183B63"/>
          </w:tcPr>
          <w:p>
            <w:pPr>
              <w:keepNext/>
              <w:keepLines/>
              <w:spacing w:before="0" w:after="0" w:line="245" w:lineRule="auto"/>
            </w:pPr>
            <w:r/>
            <w:r>
              <w:rPr>
                <w:rFonts w:ascii="Microsoft JhengHei" w:hAnsi="Microsoft JhengHei" w:eastAsia="Microsoft JhengHei"/>
                <w:b/>
                <w:color w:val="FFFFFF"/>
                <w:sz w:val="14"/>
              </w:rPr>
              <w:t>標準／權重</w:t>
            </w:r>
          </w:p>
        </w:tc>
        <w:tc>
          <w:tcPr>
            <w:tcW w:type="dxa" w:w="2549"/>
            <w:vAlign w:val="center"/>
            <w:tcMar>
              <w:top w:w="55" w:type="dxa"/>
              <w:start w:w="72" w:type="dxa"/>
              <w:bottom w:w="55" w:type="dxa"/>
              <w:end w:w="72" w:type="dxa"/>
            </w:tcMar>
            <w:shd w:fill="183B63"/>
          </w:tcPr>
          <w:p>
            <w:pPr>
              <w:keepNext/>
              <w:keepLines/>
              <w:spacing w:before="0" w:after="0" w:line="245" w:lineRule="auto"/>
            </w:pPr>
            <w:r/>
            <w:r>
              <w:rPr>
                <w:rFonts w:ascii="Microsoft JhengHei" w:hAnsi="Microsoft JhengHei" w:eastAsia="Microsoft JhengHei"/>
                <w:b/>
                <w:color w:val="FFFFFF"/>
                <w:sz w:val="14"/>
              </w:rPr>
              <w:t>結果與理由</w:t>
            </w:r>
          </w:p>
        </w:tc>
      </w:tr>
      <w:tr>
        <w:trPr>
          <w:cantSplit/>
        </w:trPr>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專業專長與課程目標相符</w:t>
            </w:r>
          </w:p>
        </w:tc>
        <w:tc>
          <w:tcPr>
            <w:tcW w:type="dxa" w:w="302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學經歷或證明原件</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[待核定]</w:t>
            </w:r>
          </w:p>
        </w:tc>
        <w:tc>
          <w:tcPr>
            <w:tcW w:type="dxa" w:w="2549"/>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教學設計與表達能力</w:t>
            </w:r>
          </w:p>
        </w:tc>
        <w:tc>
          <w:tcPr>
            <w:tcW w:type="dxa" w:w="302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教學方案／試教資料（如適用）</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[待核定]</w:t>
            </w:r>
          </w:p>
        </w:tc>
        <w:tc>
          <w:tcPr>
            <w:tcW w:type="dxa" w:w="2549"/>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授課安全與學習支持</w:t>
            </w:r>
          </w:p>
        </w:tc>
        <w:tc>
          <w:tcPr>
            <w:tcW w:type="dxa" w:w="302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相關訓練或安全作法</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[待核定]</w:t>
            </w:r>
          </w:p>
        </w:tc>
        <w:tc>
          <w:tcPr>
            <w:tcW w:type="dxa" w:w="2549"/>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可授課期間及條件</w:t>
            </w:r>
          </w:p>
        </w:tc>
        <w:tc>
          <w:tcPr>
            <w:tcW w:type="dxa" w:w="302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雙方書面確認資料</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[待核定]</w:t>
            </w:r>
          </w:p>
        </w:tc>
        <w:tc>
          <w:tcPr>
            <w:tcW w:type="dxa" w:w="2549"/>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w:t>
            </w:r>
          </w:p>
        </w:tc>
      </w:tr>
    </w:tbl>
    <w:p>
      <w:pPr>
        <w:spacing w:after="10" w:line="132" w:lineRule="auto"/>
      </w:pPr>
    </w:p>
    <w:p>
      <w:pPr>
        <w:keepLines/>
        <w:spacing w:before="0" w:after="44" w:line="250" w:lineRule="auto"/>
      </w:pPr>
      <w:r>
        <w:rPr>
          <w:rFonts w:ascii="Microsoft JhengHei" w:hAnsi="Microsoft JhengHei" w:eastAsia="Microsoft JhengHei"/>
          <w:b w:val="0"/>
          <w:color w:val="24364B"/>
          <w:sz w:val="16"/>
        </w:rPr>
        <w:t>利益關係人須依本會核定規則揭露並迴避；資格及推薦資料以原件核對，評估分數與核定不得事後倒填。</w:t>
      </w:r>
    </w:p>
    <w:p>
      <w:pPr>
        <w:pStyle w:val="Heading1"/>
        <w:keepNext/>
        <w:keepLines/>
        <w:spacing w:before="120" w:after="40"/>
      </w:pPr>
      <w:r>
        <w:rPr>
          <w:rFonts w:ascii="Microsoft JhengHei" w:hAnsi="Microsoft JhengHei" w:eastAsia="Microsoft JhengHei"/>
          <w:b/>
          <w:color w:val="183B63"/>
          <w:sz w:val="24"/>
        </w:rPr>
        <w:t>三、聘書草稿範本（未簽發、未生效）</w:t>
      </w:r>
    </w:p>
    <w:tbl>
      <w:tblPr>
        <w:tblStyle w:val="TableGrid"/>
        <w:tblW w:type="auto" w:w="0"/>
        <w:tblLook w:firstColumn="1" w:firstRow="1" w:lastColumn="0" w:lastRow="0" w:noHBand="0" w:noVBand="1" w:val="04A0"/>
      </w:tblPr>
      <w:tblGrid>
        <w:gridCol w:w="10009"/>
      </w:tblGrid>
      <w:tr>
        <w:trPr>
          <w:cantSplit/>
          <w:tblHeader w:val="true"/>
        </w:trPr>
        <w:tc>
          <w:tcPr>
            <w:tcW w:type="dxa" w:w="10009"/>
            <w:vAlign w:val="center"/>
            <w:tcMar>
              <w:top w:w="55" w:type="dxa"/>
              <w:start w:w="72" w:type="dxa"/>
              <w:bottom w:w="55" w:type="dxa"/>
              <w:end w:w="72" w:type="dxa"/>
            </w:tcMar>
            <w:shd w:fill="DCEAF5"/>
          </w:tcPr>
          <w:p>
            <w:pPr>
              <w:keepNext/>
              <w:keepLines/>
              <w:spacing w:before="0" w:after="0" w:line="245" w:lineRule="auto"/>
            </w:pPr>
            <w:r/>
            <w:r>
              <w:rPr>
                <w:rFonts w:ascii="Microsoft JhengHei" w:hAnsi="Microsoft JhengHei" w:eastAsia="Microsoft JhengHei"/>
                <w:b/>
                <w:color w:val="183B63"/>
                <w:sz w:val="16"/>
              </w:rPr>
              <w:t>本欄僅供本會審議後另行確認；空白範本不是聘任通知或契約。正式聘任應完成權責核准及雙方條件確認。</w:t>
            </w:r>
          </w:p>
        </w:tc>
      </w:tr>
    </w:tbl>
    <w:p>
      <w:pPr>
        <w:spacing w:after="6" w:line="132" w:lineRule="auto"/>
      </w:pPr>
    </w:p>
    <w:tbl>
      <w:tblPr>
        <w:tblStyle w:val="TableGrid"/>
        <w:tblW w:type="auto" w:w="0"/>
        <w:jc w:val="center"/>
        <w:tblLayout w:type="fixed"/>
        <w:tblLook w:firstColumn="1" w:firstRow="1" w:lastColumn="0" w:lastRow="0" w:noHBand="0" w:noVBand="1" w:val="04A0"/>
      </w:tblPr>
      <w:tblGrid>
        <w:gridCol w:w="2448"/>
        <w:gridCol w:w="7445"/>
      </w:tblGrid>
      <w:tr>
        <w:trPr>
          <w:tblHeader w:val="true"/>
          <w:cantSplit/>
        </w:trPr>
        <w:tc>
          <w:tcPr>
            <w:tcW w:type="dxa" w:w="2448"/>
            <w:vAlign w:val="center"/>
            <w:tcMar>
              <w:top w:w="55" w:type="dxa"/>
              <w:start w:w="72" w:type="dxa"/>
              <w:bottom w:w="55" w:type="dxa"/>
              <w:end w:w="72" w:type="dxa"/>
            </w:tcMar>
            <w:shd w:fill="183B63"/>
          </w:tcPr>
          <w:p>
            <w:pPr>
              <w:keepNext/>
              <w:keepLines/>
              <w:spacing w:before="0" w:after="0" w:line="245" w:lineRule="auto"/>
            </w:pPr>
            <w:r/>
            <w:r>
              <w:rPr>
                <w:rFonts w:ascii="Microsoft JhengHei" w:hAnsi="Microsoft JhengHei" w:eastAsia="Microsoft JhengHei"/>
                <w:b/>
                <w:color w:val="FFFFFF"/>
                <w:sz w:val="15"/>
              </w:rPr>
              <w:t>聘任欄位</w:t>
            </w:r>
          </w:p>
        </w:tc>
        <w:tc>
          <w:tcPr>
            <w:tcW w:type="dxa" w:w="7445"/>
            <w:vAlign w:val="center"/>
            <w:tcMar>
              <w:top w:w="55" w:type="dxa"/>
              <w:start w:w="72" w:type="dxa"/>
              <w:bottom w:w="55" w:type="dxa"/>
              <w:end w:w="72" w:type="dxa"/>
            </w:tcMar>
            <w:shd w:fill="183B63"/>
          </w:tcPr>
          <w:p>
            <w:pPr>
              <w:keepNext/>
              <w:keepLines/>
              <w:spacing w:before="0" w:after="0" w:line="245" w:lineRule="auto"/>
            </w:pPr>
            <w:r/>
            <w:r>
              <w:rPr>
                <w:rFonts w:ascii="Microsoft JhengHei" w:hAnsi="Microsoft JhengHei" w:eastAsia="Microsoft JhengHei"/>
                <w:b/>
                <w:color w:val="FFFFFF"/>
                <w:sz w:val="15"/>
              </w:rPr>
              <w:t>待填內容</w:t>
            </w:r>
          </w:p>
        </w:tc>
      </w:tr>
      <w:tr>
        <w:trPr>
          <w:cantSplit/>
        </w:trPr>
        <w:tc>
          <w:tcPr>
            <w:tcW w:type="dxa" w:w="244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講師姓名／課程及授課範圍</w:t>
            </w:r>
          </w:p>
        </w:tc>
        <w:tc>
          <w:tcPr>
            <w:tcW w:type="dxa" w:w="744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[待填]</w:t>
            </w:r>
          </w:p>
        </w:tc>
      </w:tr>
      <w:tr>
        <w:trPr>
          <w:cantSplit/>
        </w:trPr>
        <w:tc>
          <w:tcPr>
            <w:tcW w:type="dxa" w:w="244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聘任期間／授課安排</w:t>
            </w:r>
          </w:p>
        </w:tc>
        <w:tc>
          <w:tcPr>
            <w:tcW w:type="dxa" w:w="744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[待填；以雙方確認為準]</w:t>
            </w:r>
          </w:p>
        </w:tc>
      </w:tr>
      <w:tr>
        <w:trPr>
          <w:cantSplit/>
        </w:trPr>
        <w:tc>
          <w:tcPr>
            <w:tcW w:type="dxa" w:w="244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費用或其他條件</w:t>
            </w:r>
          </w:p>
        </w:tc>
        <w:tc>
          <w:tcPr>
            <w:tcW w:type="dxa" w:w="744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[待議並依授權核准]</w:t>
            </w:r>
          </w:p>
        </w:tc>
      </w:tr>
      <w:tr>
        <w:trPr>
          <w:cantSplit/>
        </w:trPr>
        <w:tc>
          <w:tcPr>
            <w:tcW w:type="dxa" w:w="244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核准與簽發日期</w:t>
            </w:r>
          </w:p>
        </w:tc>
        <w:tc>
          <w:tcPr>
            <w:tcW w:type="dxa" w:w="744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[待核定／未簽發]</w:t>
            </w:r>
          </w:p>
        </w:tc>
      </w:tr>
    </w:tbl>
    <w:p>
      <w:pPr>
        <w:spacing w:after="10" w:line="132" w:lineRule="auto"/>
      </w:pPr>
    </w:p>
    <w:p>
      <w:pPr>
        <w:pStyle w:val="Heading1"/>
        <w:keepNext/>
        <w:keepLines/>
      </w:pPr>
      <w:r>
        <w:t>操作工具補充｜講師遴聘與委員會審議</w:t>
      </w:r>
    </w:p>
    <w:p>
      <w:pPr>
        <w:keepLines/>
        <w:spacing w:before="40" w:after="80"/>
      </w:pPr>
      <w:r>
        <w:rPr>
          <w:rFonts w:ascii="Microsoft JhengHei" w:hAnsi="Microsoft JhengHei" w:eastAsia="Microsoft JhengHei"/>
          <w:b w:val="0"/>
          <w:i w:val="0"/>
          <w:sz w:val="18"/>
        </w:rPr>
        <w:t>本件專屬講師遴聘及委員會審議；講師資格、評選標準與權重必須在徵聘前核定並一致使用。未核定時只可作審議草案，不得對候選人宣稱已聘任。</w:t>
      </w:r>
    </w:p>
    <w:p>
      <w:pPr>
        <w:pStyle w:val="Heading2"/>
        <w:keepNext/>
        <w:keepLines/>
      </w:pPr>
      <w:r>
        <w:t>1. 遴聘前標準核定表</w:t>
      </w:r>
    </w:p>
    <w:tbl>
      <w:tblPr>
        <w:tblStyle w:val="TableGrid"/>
        <w:tblW w:type="auto" w:w="0"/>
        <w:tblLayout w:type="autofit"/>
        <w:tblLook w:firstColumn="1" w:firstRow="1" w:lastColumn="0" w:lastRow="0" w:noHBand="0" w:noVBand="1" w:val="04A0"/>
      </w:tblPr>
      <w:tblGrid>
        <w:gridCol w:w="2002"/>
        <w:gridCol w:w="2002"/>
        <w:gridCol w:w="2002"/>
        <w:gridCol w:w="2002"/>
        <w:gridCol w:w="2002"/>
      </w:tblGrid>
      <w:tr>
        <w:trPr>
          <w:cantSplit/>
          <w:tblHeader w:val="true"/>
        </w:trPr>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標準／資格項目</w:t>
            </w:r>
          </w:p>
        </w:tc>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適用課程與必要性</w:t>
            </w:r>
          </w:p>
        </w:tc>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權重／門檻（待核定）</w:t>
            </w:r>
          </w:p>
        </w:tc>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可接受佐證</w:t>
            </w:r>
          </w:p>
        </w:tc>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核定版次／生效依據</w:t>
            </w:r>
          </w:p>
        </w:tc>
      </w:tr>
      <w:tr>
        <w:trPr>
          <w:cantSplit/>
        </w:trPr>
        <w:tc>
          <w:tcPr>
            <w:tcW w:type="dxa" w:w="2002"/>
            <w:vAlign w:val="center"/>
          </w:tcPr>
          <w:p>
            <w:pPr>
              <w:spacing w:before="0" w:after="40" w:line="240" w:lineRule="auto"/>
            </w:pPr>
            <w:r>
              <w:rPr>
                <w:rFonts w:ascii="Microsoft JhengHei" w:hAnsi="Microsoft JhengHei" w:eastAsia="Microsoft JhengHei"/>
                <w:sz w:val="17"/>
              </w:rPr>
              <w:t>專業資格／經驗</w:t>
            </w:r>
          </w:p>
        </w:tc>
        <w:tc>
          <w:tcPr>
            <w:tcW w:type="dxa" w:w="2002"/>
            <w:vAlign w:val="center"/>
          </w:tcPr>
          <w:p>
            <w:pPr>
              <w:spacing w:before="0" w:after="40" w:line="240" w:lineRule="auto"/>
            </w:pPr>
            <w:r>
              <w:rPr>
                <w:rFonts w:ascii="Microsoft JhengHei" w:hAnsi="Microsoft JhengHei" w:eastAsia="Microsoft JhengHei"/>
                <w:sz w:val="17"/>
              </w:rPr>
              <w:t>[依實際課程目標與適用規範訂定]</w:t>
            </w:r>
          </w:p>
        </w:tc>
        <w:tc>
          <w:tcPr>
            <w:tcW w:type="dxa" w:w="2002"/>
            <w:vAlign w:val="center"/>
          </w:tcPr>
          <w:p>
            <w:pPr>
              <w:spacing w:before="0" w:after="40" w:line="240" w:lineRule="auto"/>
            </w:pPr>
            <w:r>
              <w:rPr>
                <w:rFonts w:ascii="Microsoft JhengHei" w:hAnsi="Microsoft JhengHei" w:eastAsia="Microsoft JhengHei"/>
                <w:sz w:val="17"/>
              </w:rPr>
              <w:t>[不得自行設定]</w:t>
            </w:r>
          </w:p>
        </w:tc>
        <w:tc>
          <w:tcPr>
            <w:tcW w:type="dxa" w:w="2002"/>
            <w:vAlign w:val="center"/>
          </w:tcPr>
          <w:p>
            <w:pPr>
              <w:spacing w:before="0" w:after="40" w:line="240" w:lineRule="auto"/>
            </w:pPr>
            <w:r>
              <w:rPr>
                <w:rFonts w:ascii="Microsoft JhengHei" w:hAnsi="Microsoft JhengHei" w:eastAsia="Microsoft JhengHei"/>
                <w:sz w:val="17"/>
              </w:rPr>
              <w:t>[證書／經歷等必要資料，類型待核]</w:t>
            </w:r>
          </w:p>
        </w:tc>
        <w:tc>
          <w:tcPr>
            <w:tcW w:type="dxa" w:w="2002"/>
            <w:vAlign w:val="center"/>
          </w:tcPr>
          <w:p>
            <w:pPr>
              <w:spacing w:before="0" w:after="40" w:line="240" w:lineRule="auto"/>
            </w:pPr>
            <w:r>
              <w:rPr>
                <w:rFonts w:ascii="Microsoft JhengHei" w:hAnsi="Microsoft JhengHei" w:eastAsia="Microsoft JhengHei"/>
                <w:sz w:val="17"/>
              </w:rPr>
              <w:t>[待核定]</w:t>
            </w:r>
          </w:p>
        </w:tc>
      </w:tr>
      <w:tr>
        <w:trPr>
          <w:cantSplit/>
        </w:trPr>
        <w:tc>
          <w:tcPr>
            <w:tcW w:type="dxa" w:w="2002"/>
            <w:vAlign w:val="center"/>
            <w:shd w:fill="F2F6FA"/>
          </w:tcPr>
          <w:p>
            <w:pPr>
              <w:spacing w:before="0" w:after="40" w:line="240" w:lineRule="auto"/>
            </w:pPr>
            <w:r>
              <w:rPr>
                <w:rFonts w:ascii="Microsoft JhengHei" w:hAnsi="Microsoft JhengHei" w:eastAsia="Microsoft JhengHei"/>
                <w:sz w:val="17"/>
              </w:rPr>
              <w:t>教學與溝通能力</w:t>
            </w:r>
          </w:p>
        </w:tc>
        <w:tc>
          <w:tcPr>
            <w:tcW w:type="dxa" w:w="2002"/>
            <w:vAlign w:val="center"/>
            <w:shd w:fill="F2F6FA"/>
          </w:tcPr>
          <w:p>
            <w:pPr>
              <w:spacing w:before="0" w:after="40" w:line="240" w:lineRule="auto"/>
            </w:pPr>
            <w:r>
              <w:rPr>
                <w:rFonts w:ascii="Microsoft JhengHei" w:hAnsi="Microsoft JhengHei" w:eastAsia="Microsoft JhengHei"/>
                <w:sz w:val="17"/>
              </w:rPr>
              <w:t>[訂定可觀察評估方式]</w:t>
            </w:r>
          </w:p>
        </w:tc>
        <w:tc>
          <w:tcPr>
            <w:tcW w:type="dxa" w:w="2002"/>
            <w:vAlign w:val="center"/>
            <w:shd w:fill="F2F6FA"/>
          </w:tcPr>
          <w:p>
            <w:pPr>
              <w:spacing w:before="0" w:after="40" w:line="240" w:lineRule="auto"/>
            </w:pPr>
            <w:r>
              <w:rPr>
                <w:rFonts w:ascii="Microsoft JhengHei" w:hAnsi="Microsoft JhengHei" w:eastAsia="Microsoft JhengHei"/>
                <w:sz w:val="17"/>
              </w:rPr>
              <w:t>[待核定]</w:t>
            </w:r>
          </w:p>
        </w:tc>
        <w:tc>
          <w:tcPr>
            <w:tcW w:type="dxa" w:w="2002"/>
            <w:vAlign w:val="center"/>
            <w:shd w:fill="F2F6FA"/>
          </w:tcPr>
          <w:p>
            <w:pPr>
              <w:spacing w:before="0" w:after="40" w:line="240" w:lineRule="auto"/>
            </w:pPr>
            <w:r>
              <w:rPr>
                <w:rFonts w:ascii="Microsoft JhengHei" w:hAnsi="Microsoft JhengHei" w:eastAsia="Microsoft JhengHei"/>
                <w:sz w:val="17"/>
              </w:rPr>
              <w:t>[試教／教案／評語等；待核定]</w:t>
            </w:r>
          </w:p>
        </w:tc>
        <w:tc>
          <w:tcPr>
            <w:tcW w:type="dxa" w:w="2002"/>
            <w:vAlign w:val="center"/>
            <w:shd w:fill="F2F6FA"/>
          </w:tcPr>
          <w:p>
            <w:pPr>
              <w:spacing w:before="0" w:after="40" w:line="240" w:lineRule="auto"/>
            </w:pPr>
            <w:r>
              <w:rPr>
                <w:rFonts w:ascii="Microsoft JhengHei" w:hAnsi="Microsoft JhengHei" w:eastAsia="Microsoft JhengHei"/>
                <w:sz w:val="17"/>
              </w:rPr>
              <w:t>[待核定]</w:t>
            </w:r>
          </w:p>
        </w:tc>
      </w:tr>
      <w:tr>
        <w:trPr>
          <w:cantSplit/>
        </w:trPr>
        <w:tc>
          <w:tcPr>
            <w:tcW w:type="dxa" w:w="2002"/>
            <w:vAlign w:val="center"/>
          </w:tcPr>
          <w:p>
            <w:pPr>
              <w:spacing w:before="0" w:after="40" w:line="240" w:lineRule="auto"/>
            </w:pPr>
            <w:r>
              <w:rPr>
                <w:rFonts w:ascii="Microsoft JhengHei" w:hAnsi="Microsoft JhengHei" w:eastAsia="Microsoft JhengHei"/>
                <w:sz w:val="17"/>
              </w:rPr>
              <w:t>安全與非醫療界線</w:t>
            </w:r>
          </w:p>
        </w:tc>
        <w:tc>
          <w:tcPr>
            <w:tcW w:type="dxa" w:w="2002"/>
            <w:vAlign w:val="center"/>
          </w:tcPr>
          <w:p>
            <w:pPr>
              <w:spacing w:before="0" w:after="40" w:line="240" w:lineRule="auto"/>
            </w:pPr>
            <w:r>
              <w:rPr>
                <w:rFonts w:ascii="Microsoft JhengHei" w:hAnsi="Microsoft JhengHei" w:eastAsia="Microsoft JhengHei"/>
                <w:sz w:val="17"/>
              </w:rPr>
              <w:t>[適用於健康教育及傳統整復推拿技術課程]</w:t>
            </w:r>
          </w:p>
        </w:tc>
        <w:tc>
          <w:tcPr>
            <w:tcW w:type="dxa" w:w="2002"/>
            <w:vAlign w:val="center"/>
          </w:tcPr>
          <w:p>
            <w:pPr>
              <w:spacing w:before="0" w:after="40" w:line="240" w:lineRule="auto"/>
            </w:pPr>
            <w:r>
              <w:rPr>
                <w:rFonts w:ascii="Microsoft JhengHei" w:hAnsi="Microsoft JhengHei" w:eastAsia="Microsoft JhengHei"/>
                <w:sz w:val="17"/>
              </w:rPr>
              <w:t>[待核定]</w:t>
            </w:r>
          </w:p>
        </w:tc>
        <w:tc>
          <w:tcPr>
            <w:tcW w:type="dxa" w:w="2002"/>
            <w:vAlign w:val="center"/>
          </w:tcPr>
          <w:p>
            <w:pPr>
              <w:spacing w:before="0" w:after="40" w:line="240" w:lineRule="auto"/>
            </w:pPr>
            <w:r>
              <w:rPr>
                <w:rFonts w:ascii="Microsoft JhengHei" w:hAnsi="Microsoft JhengHei" w:eastAsia="Microsoft JhengHei"/>
                <w:sz w:val="17"/>
              </w:rPr>
              <w:t>[課程專業審查紀錄]</w:t>
            </w:r>
          </w:p>
        </w:tc>
        <w:tc>
          <w:tcPr>
            <w:tcW w:type="dxa" w:w="2002"/>
            <w:vAlign w:val="center"/>
          </w:tcPr>
          <w:p>
            <w:pPr>
              <w:spacing w:before="0" w:after="40" w:line="240" w:lineRule="auto"/>
            </w:pPr>
            <w:r>
              <w:rPr>
                <w:rFonts w:ascii="Microsoft JhengHei" w:hAnsi="Microsoft JhengHei" w:eastAsia="Microsoft JhengHei"/>
                <w:sz w:val="17"/>
              </w:rPr>
              <w:t>[待核定]</w:t>
            </w:r>
          </w:p>
        </w:tc>
      </w:tr>
      <w:tr>
        <w:trPr>
          <w:cantSplit/>
        </w:trPr>
        <w:tc>
          <w:tcPr>
            <w:tcW w:type="dxa" w:w="2002"/>
            <w:vAlign w:val="center"/>
            <w:shd w:fill="F2F6FA"/>
          </w:tcPr>
          <w:p>
            <w:pPr>
              <w:spacing w:before="0" w:after="40" w:line="240" w:lineRule="auto"/>
            </w:pPr>
            <w:r>
              <w:rPr>
                <w:rFonts w:ascii="Microsoft JhengHei" w:hAnsi="Microsoft JhengHei" w:eastAsia="Microsoft JhengHei"/>
                <w:sz w:val="17"/>
              </w:rPr>
              <w:t>利益衝突／迴避</w:t>
            </w:r>
          </w:p>
        </w:tc>
        <w:tc>
          <w:tcPr>
            <w:tcW w:type="dxa" w:w="2002"/>
            <w:vAlign w:val="center"/>
            <w:shd w:fill="F2F6FA"/>
          </w:tcPr>
          <w:p>
            <w:pPr>
              <w:spacing w:before="0" w:after="40" w:line="240" w:lineRule="auto"/>
            </w:pPr>
            <w:r>
              <w:rPr>
                <w:rFonts w:ascii="Microsoft JhengHei" w:hAnsi="Microsoft JhengHei" w:eastAsia="Microsoft JhengHei"/>
                <w:sz w:val="17"/>
              </w:rPr>
              <w:t>[揭露與處置規則]</w:t>
            </w:r>
          </w:p>
        </w:tc>
        <w:tc>
          <w:tcPr>
            <w:tcW w:type="dxa" w:w="2002"/>
            <w:vAlign w:val="center"/>
            <w:shd w:fill="F2F6FA"/>
          </w:tcPr>
          <w:p>
            <w:pPr>
              <w:spacing w:before="0" w:after="40" w:line="240" w:lineRule="auto"/>
            </w:pPr>
            <w:r>
              <w:rPr>
                <w:rFonts w:ascii="Microsoft JhengHei" w:hAnsi="Microsoft JhengHei" w:eastAsia="Microsoft JhengHei"/>
                <w:sz w:val="17"/>
              </w:rPr>
              <w:t>[依本會權責核定]</w:t>
            </w:r>
          </w:p>
        </w:tc>
        <w:tc>
          <w:tcPr>
            <w:tcW w:type="dxa" w:w="2002"/>
            <w:vAlign w:val="center"/>
            <w:shd w:fill="F2F6FA"/>
          </w:tcPr>
          <w:p>
            <w:pPr>
              <w:spacing w:before="0" w:after="40" w:line="240" w:lineRule="auto"/>
            </w:pPr>
            <w:r>
              <w:rPr>
                <w:rFonts w:ascii="Microsoft JhengHei" w:hAnsi="Microsoft JhengHei" w:eastAsia="Microsoft JhengHei"/>
                <w:sz w:val="17"/>
              </w:rPr>
              <w:t>[聲明及處置紀錄]</w:t>
            </w:r>
          </w:p>
        </w:tc>
        <w:tc>
          <w:tcPr>
            <w:tcW w:type="dxa" w:w="2002"/>
            <w:vAlign w:val="center"/>
            <w:shd w:fill="F2F6FA"/>
          </w:tcPr>
          <w:p>
            <w:pPr>
              <w:spacing w:before="0" w:after="40" w:line="240" w:lineRule="auto"/>
            </w:pPr>
            <w:r>
              <w:rPr>
                <w:rFonts w:ascii="Microsoft JhengHei" w:hAnsi="Microsoft JhengHei" w:eastAsia="Microsoft JhengHei"/>
                <w:sz w:val="17"/>
              </w:rPr>
              <w:t>[待核定]</w:t>
            </w:r>
          </w:p>
        </w:tc>
      </w:tr>
    </w:tbl>
    <w:p>
      <w:pPr>
        <w:pStyle w:val="Heading2"/>
        <w:keepNext/>
        <w:keepLines/>
      </w:pPr>
      <w:r>
        <w:t>2. 候選資格核對與評選工作表</w:t>
      </w:r>
    </w:p>
    <w:tbl>
      <w:tblPr>
        <w:tblStyle w:val="TableGrid"/>
        <w:tblW w:type="auto" w:w="0"/>
        <w:tblLayout w:type="autofit"/>
        <w:tblLook w:firstColumn="1" w:firstRow="1" w:lastColumn="0" w:lastRow="0" w:noHBand="0" w:noVBand="1" w:val="04A0"/>
      </w:tblPr>
      <w:tblGrid>
        <w:gridCol w:w="2002"/>
        <w:gridCol w:w="2002"/>
        <w:gridCol w:w="2002"/>
        <w:gridCol w:w="2002"/>
        <w:gridCol w:w="2002"/>
      </w:tblGrid>
      <w:tr>
        <w:trPr>
          <w:cantSplit/>
          <w:tblHeader w:val="true"/>
        </w:trPr>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候選代碼</w:t>
            </w:r>
          </w:p>
        </w:tc>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資格項目／公告標準</w:t>
            </w:r>
          </w:p>
        </w:tc>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證據位置／核對結果</w:t>
            </w:r>
          </w:p>
        </w:tc>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委員觀察／分數（待核定）</w:t>
            </w:r>
          </w:p>
        </w:tc>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差異／待補與處理</w:t>
            </w:r>
          </w:p>
        </w:tc>
      </w:tr>
      <w:tr>
        <w:trPr>
          <w:cantSplit/>
        </w:trPr>
        <w:tc>
          <w:tcPr>
            <w:tcW w:type="dxa" w:w="2002"/>
            <w:vAlign w:val="center"/>
          </w:tcPr>
          <w:p>
            <w:pPr>
              <w:spacing w:before="0" w:after="40" w:line="240" w:lineRule="auto"/>
            </w:pPr>
            <w:r>
              <w:rPr>
                <w:rFonts w:ascii="Microsoft JhengHei" w:hAnsi="Microsoft JhengHei" w:eastAsia="Microsoft JhengHei"/>
                <w:sz w:val="17"/>
              </w:rPr>
              <w:t>[待編碼]</w:t>
            </w:r>
          </w:p>
        </w:tc>
        <w:tc>
          <w:tcPr>
            <w:tcW w:type="dxa" w:w="2002"/>
            <w:vAlign w:val="center"/>
          </w:tcPr>
          <w:p>
            <w:pPr>
              <w:spacing w:before="0" w:after="40" w:line="240" w:lineRule="auto"/>
            </w:pPr>
            <w:r>
              <w:rPr>
                <w:rFonts w:ascii="Microsoft JhengHei" w:hAnsi="Microsoft JhengHei" w:eastAsia="Microsoft JhengHei"/>
                <w:sz w:val="17"/>
              </w:rPr>
              <w:t>[引用公告版本與項目]</w:t>
            </w:r>
          </w:p>
        </w:tc>
        <w:tc>
          <w:tcPr>
            <w:tcW w:type="dxa" w:w="2002"/>
            <w:vAlign w:val="center"/>
          </w:tcPr>
          <w:p>
            <w:pPr>
              <w:spacing w:before="0" w:after="40" w:line="240" w:lineRule="auto"/>
            </w:pPr>
            <w:r>
              <w:rPr>
                <w:rFonts w:ascii="Microsoft JhengHei" w:hAnsi="Microsoft JhengHei" w:eastAsia="Microsoft JhengHei"/>
                <w:sz w:val="17"/>
              </w:rPr>
              <w:t>[檔名、頁次；符合／不符／待補]</w:t>
            </w:r>
          </w:p>
        </w:tc>
        <w:tc>
          <w:tcPr>
            <w:tcW w:type="dxa" w:w="2002"/>
            <w:vAlign w:val="center"/>
          </w:tcPr>
          <w:p>
            <w:pPr>
              <w:spacing w:before="0" w:after="40" w:line="240" w:lineRule="auto"/>
            </w:pPr>
            <w:r>
              <w:rPr>
                <w:rFonts w:ascii="Microsoft JhengHei" w:hAnsi="Microsoft JhengHei" w:eastAsia="Microsoft JhengHei"/>
                <w:sz w:val="17"/>
              </w:rPr>
              <w:t>[只用核定標準]</w:t>
            </w:r>
          </w:p>
        </w:tc>
        <w:tc>
          <w:tcPr>
            <w:tcW w:type="dxa" w:w="2002"/>
            <w:vAlign w:val="center"/>
          </w:tcPr>
          <w:p>
            <w:pPr>
              <w:spacing w:before="0" w:after="40" w:line="240" w:lineRule="auto"/>
            </w:pPr>
            <w:r>
              <w:rPr>
                <w:rFonts w:ascii="Microsoft JhengHei" w:hAnsi="Microsoft JhengHei" w:eastAsia="Microsoft JhengHei"/>
                <w:sz w:val="17"/>
              </w:rPr>
              <w:t>[待填]</w:t>
            </w:r>
          </w:p>
        </w:tc>
      </w:tr>
      <w:tr>
        <w:trPr>
          <w:cantSplit/>
        </w:trPr>
        <w:tc>
          <w:tcPr>
            <w:tcW w:type="dxa" w:w="2002"/>
            <w:vAlign w:val="center"/>
            <w:shd w:fill="F2F6FA"/>
          </w:tcPr>
          <w:p>
            <w:pPr>
              <w:spacing w:before="0" w:after="40" w:line="240" w:lineRule="auto"/>
            </w:pPr>
            <w:r>
              <w:rPr>
                <w:rFonts w:ascii="Microsoft JhengHei" w:hAnsi="Microsoft JhengHei" w:eastAsia="Microsoft JhengHei"/>
                <w:sz w:val="17"/>
              </w:rPr>
              <w:t>[待編碼]</w:t>
            </w:r>
          </w:p>
        </w:tc>
        <w:tc>
          <w:tcPr>
            <w:tcW w:type="dxa" w:w="2002"/>
            <w:vAlign w:val="center"/>
            <w:shd w:fill="F2F6FA"/>
          </w:tcPr>
          <w:p>
            <w:pPr>
              <w:spacing w:before="0" w:after="40" w:line="240" w:lineRule="auto"/>
            </w:pPr>
            <w:r>
              <w:rPr>
                <w:rFonts w:ascii="Microsoft JhengHei" w:hAnsi="Microsoft JhengHei" w:eastAsia="Microsoft JhengHei"/>
                <w:sz w:val="17"/>
              </w:rPr>
              <w:t>[待填]</w:t>
            </w:r>
          </w:p>
        </w:tc>
        <w:tc>
          <w:tcPr>
            <w:tcW w:type="dxa" w:w="2002"/>
            <w:vAlign w:val="center"/>
            <w:shd w:fill="F2F6FA"/>
          </w:tcPr>
          <w:p>
            <w:pPr>
              <w:spacing w:before="0" w:after="40" w:line="240" w:lineRule="auto"/>
            </w:pPr>
            <w:r>
              <w:rPr>
                <w:rFonts w:ascii="Microsoft JhengHei" w:hAnsi="Microsoft JhengHei" w:eastAsia="Microsoft JhengHei"/>
                <w:sz w:val="17"/>
              </w:rPr>
              <w:t>[待填]</w:t>
            </w:r>
          </w:p>
        </w:tc>
        <w:tc>
          <w:tcPr>
            <w:tcW w:type="dxa" w:w="2002"/>
            <w:vAlign w:val="center"/>
            <w:shd w:fill="F2F6FA"/>
          </w:tcPr>
          <w:p>
            <w:pPr>
              <w:spacing w:before="0" w:after="40" w:line="240" w:lineRule="auto"/>
            </w:pPr>
            <w:r>
              <w:rPr>
                <w:rFonts w:ascii="Microsoft JhengHei" w:hAnsi="Microsoft JhengHei" w:eastAsia="Microsoft JhengHei"/>
                <w:sz w:val="17"/>
              </w:rPr>
              <w:t>[待填]</w:t>
            </w:r>
          </w:p>
        </w:tc>
        <w:tc>
          <w:tcPr>
            <w:tcW w:type="dxa" w:w="2002"/>
            <w:vAlign w:val="center"/>
            <w:shd w:fill="F2F6FA"/>
          </w:tcPr>
          <w:p>
            <w:pPr>
              <w:spacing w:before="0" w:after="40" w:line="240" w:lineRule="auto"/>
            </w:pPr>
            <w:r>
              <w:rPr>
                <w:rFonts w:ascii="Microsoft JhengHei" w:hAnsi="Microsoft JhengHei" w:eastAsia="Microsoft JhengHei"/>
                <w:sz w:val="17"/>
              </w:rPr>
              <w:t>[待填]</w:t>
            </w:r>
          </w:p>
        </w:tc>
      </w:tr>
      <w:tr>
        <w:trPr>
          <w:cantSplit/>
        </w:trPr>
        <w:tc>
          <w:tcPr>
            <w:tcW w:type="dxa" w:w="2002"/>
            <w:vAlign w:val="center"/>
          </w:tcPr>
          <w:p>
            <w:pPr>
              <w:spacing w:before="0" w:after="40" w:line="240" w:lineRule="auto"/>
            </w:pPr>
            <w:r>
              <w:rPr>
                <w:rFonts w:ascii="Microsoft JhengHei" w:hAnsi="Microsoft JhengHei" w:eastAsia="Microsoft JhengHei"/>
                <w:sz w:val="17"/>
              </w:rPr>
              <w:t>[待編碼]</w:t>
            </w:r>
          </w:p>
        </w:tc>
        <w:tc>
          <w:tcPr>
            <w:tcW w:type="dxa" w:w="2002"/>
            <w:vAlign w:val="center"/>
          </w:tcPr>
          <w:p>
            <w:pPr>
              <w:spacing w:before="0" w:after="40" w:line="240" w:lineRule="auto"/>
            </w:pPr>
            <w:r>
              <w:rPr>
                <w:rFonts w:ascii="Microsoft JhengHei" w:hAnsi="Microsoft JhengHei" w:eastAsia="Microsoft JhengHei"/>
                <w:sz w:val="17"/>
              </w:rPr>
              <w:t>[待填]</w:t>
            </w:r>
          </w:p>
        </w:tc>
        <w:tc>
          <w:tcPr>
            <w:tcW w:type="dxa" w:w="2002"/>
            <w:vAlign w:val="center"/>
          </w:tcPr>
          <w:p>
            <w:pPr>
              <w:spacing w:before="0" w:after="40" w:line="240" w:lineRule="auto"/>
            </w:pPr>
            <w:r>
              <w:rPr>
                <w:rFonts w:ascii="Microsoft JhengHei" w:hAnsi="Microsoft JhengHei" w:eastAsia="Microsoft JhengHei"/>
                <w:sz w:val="17"/>
              </w:rPr>
              <w:t>[待填]</w:t>
            </w:r>
          </w:p>
        </w:tc>
        <w:tc>
          <w:tcPr>
            <w:tcW w:type="dxa" w:w="2002"/>
            <w:vAlign w:val="center"/>
          </w:tcPr>
          <w:p>
            <w:pPr>
              <w:spacing w:before="0" w:after="40" w:line="240" w:lineRule="auto"/>
            </w:pPr>
            <w:r>
              <w:rPr>
                <w:rFonts w:ascii="Microsoft JhengHei" w:hAnsi="Microsoft JhengHei" w:eastAsia="Microsoft JhengHei"/>
                <w:sz w:val="17"/>
              </w:rPr>
              <w:t>[待填]</w:t>
            </w:r>
          </w:p>
        </w:tc>
        <w:tc>
          <w:tcPr>
            <w:tcW w:type="dxa" w:w="2002"/>
            <w:vAlign w:val="center"/>
          </w:tcPr>
          <w:p>
            <w:pPr>
              <w:spacing w:before="0" w:after="40" w:line="240" w:lineRule="auto"/>
            </w:pPr>
            <w:r>
              <w:rPr>
                <w:rFonts w:ascii="Microsoft JhengHei" w:hAnsi="Microsoft JhengHei" w:eastAsia="Microsoft JhengHei"/>
                <w:sz w:val="17"/>
              </w:rPr>
              <w:t>[待填]</w:t>
            </w:r>
          </w:p>
        </w:tc>
      </w:tr>
    </w:tbl>
    <w:p>
      <w:pPr>
        <w:pStyle w:val="Heading2"/>
        <w:keepNext/>
        <w:keepLines/>
      </w:pPr>
      <w:r>
        <w:t>3. 委員會審議及迴避紀錄</w:t>
      </w:r>
    </w:p>
    <w:tbl>
      <w:tblPr>
        <w:tblStyle w:val="TableGrid"/>
        <w:tblW w:type="auto" w:w="0"/>
        <w:tblLayout w:type="autofit"/>
        <w:tblLook w:firstColumn="1" w:firstRow="1" w:lastColumn="0" w:lastRow="0" w:noHBand="0" w:noVBand="1" w:val="04A0"/>
      </w:tblPr>
      <w:tblGrid>
        <w:gridCol w:w="2002"/>
        <w:gridCol w:w="2002"/>
        <w:gridCol w:w="2002"/>
        <w:gridCol w:w="2002"/>
        <w:gridCol w:w="2002"/>
      </w:tblGrid>
      <w:tr>
        <w:trPr>
          <w:cantSplit/>
          <w:tblHeader w:val="true"/>
        </w:trPr>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會議識別／日期／權責依據</w:t>
            </w:r>
          </w:p>
        </w:tc>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出席角色／利益衝突揭露／迴避</w:t>
            </w:r>
          </w:p>
        </w:tc>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候選比較、意見與異議</w:t>
            </w:r>
          </w:p>
        </w:tc>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決議／未採理由</w:t>
            </w:r>
          </w:p>
        </w:tc>
        <w:tc>
          <w:tcPr>
            <w:tcW w:type="dxa" w:w="2002"/>
            <w:vAlign w:val="center"/>
            <w:shd w:fill="1F4E78"/>
          </w:tcPr>
          <w:p>
            <w:pPr>
              <w:keepNext/>
              <w:keepLines/>
              <w:spacing w:before="0" w:after="40" w:line="240" w:lineRule="auto"/>
            </w:pPr>
            <w:r>
              <w:rPr>
                <w:rFonts w:ascii="Microsoft JhengHei" w:hAnsi="Microsoft JhengHei" w:eastAsia="Microsoft JhengHei"/>
                <w:b/>
                <w:color w:val="FFFFFF"/>
                <w:sz w:val="17"/>
              </w:rPr>
              <w:t>追蹤／簽認／附件</w:t>
            </w:r>
          </w:p>
        </w:tc>
      </w:tr>
      <w:tr>
        <w:trPr>
          <w:cantSplit/>
        </w:trPr>
        <w:tc>
          <w:tcPr>
            <w:tcW w:type="dxa" w:w="2002"/>
            <w:vAlign w:val="center"/>
          </w:tcPr>
          <w:p>
            <w:pPr>
              <w:spacing w:before="0" w:after="40" w:line="240" w:lineRule="auto"/>
            </w:pPr>
            <w:r>
              <w:rPr>
                <w:rFonts w:ascii="Microsoft JhengHei" w:hAnsi="Microsoft JhengHei" w:eastAsia="Microsoft JhengHei"/>
                <w:sz w:val="17"/>
              </w:rPr>
              <w:t>[實際會議後填]</w:t>
            </w:r>
          </w:p>
        </w:tc>
        <w:tc>
          <w:tcPr>
            <w:tcW w:type="dxa" w:w="2002"/>
            <w:vAlign w:val="center"/>
          </w:tcPr>
          <w:p>
            <w:pPr>
              <w:spacing w:before="0" w:after="40" w:line="240" w:lineRule="auto"/>
            </w:pPr>
            <w:r>
              <w:rPr>
                <w:rFonts w:ascii="Microsoft JhengHei" w:hAnsi="Microsoft JhengHei" w:eastAsia="Microsoft JhengHei"/>
                <w:sz w:val="17"/>
              </w:rPr>
              <w:t>[實際出席名單及聲明；空白不得視為無衝突]</w:t>
            </w:r>
          </w:p>
        </w:tc>
        <w:tc>
          <w:tcPr>
            <w:tcW w:type="dxa" w:w="2002"/>
            <w:vAlign w:val="center"/>
          </w:tcPr>
          <w:p>
            <w:pPr>
              <w:spacing w:before="0" w:after="40" w:line="240" w:lineRule="auto"/>
            </w:pPr>
            <w:r>
              <w:rPr>
                <w:rFonts w:ascii="Microsoft JhengHei" w:hAnsi="Microsoft JhengHei" w:eastAsia="Microsoft JhengHei"/>
                <w:sz w:val="17"/>
              </w:rPr>
              <w:t>[依公告標準逐項記錄]</w:t>
            </w:r>
          </w:p>
        </w:tc>
        <w:tc>
          <w:tcPr>
            <w:tcW w:type="dxa" w:w="2002"/>
            <w:vAlign w:val="center"/>
          </w:tcPr>
          <w:p>
            <w:pPr>
              <w:spacing w:before="0" w:after="40" w:line="240" w:lineRule="auto"/>
            </w:pPr>
            <w:r>
              <w:rPr>
                <w:rFonts w:ascii="Microsoft JhengHei" w:hAnsi="Microsoft JhengHei" w:eastAsia="Microsoft JhengHei"/>
                <w:sz w:val="17"/>
              </w:rPr>
              <w:t>[待實際決議；未採者逐項理由]</w:t>
            </w:r>
          </w:p>
        </w:tc>
        <w:tc>
          <w:tcPr>
            <w:tcW w:type="dxa" w:w="2002"/>
            <w:vAlign w:val="center"/>
          </w:tcPr>
          <w:p>
            <w:pPr>
              <w:spacing w:before="0" w:after="40" w:line="240" w:lineRule="auto"/>
            </w:pPr>
            <w:r>
              <w:rPr>
                <w:rFonts w:ascii="Microsoft JhengHei" w:hAnsi="Microsoft JhengHei" w:eastAsia="Microsoft JhengHei"/>
                <w:sz w:val="17"/>
              </w:rPr>
              <w:t>[待填]</w:t>
            </w:r>
          </w:p>
        </w:tc>
      </w:tr>
      <w:tr>
        <w:trPr>
          <w:cantSplit/>
        </w:trPr>
        <w:tc>
          <w:tcPr>
            <w:tcW w:type="dxa" w:w="2002"/>
            <w:vAlign w:val="center"/>
            <w:shd w:fill="F2F6FA"/>
          </w:tcPr>
          <w:p>
            <w:pPr>
              <w:spacing w:before="0" w:after="40" w:line="240" w:lineRule="auto"/>
            </w:pPr>
            <w:r>
              <w:rPr>
                <w:rFonts w:ascii="Microsoft JhengHei" w:hAnsi="Microsoft JhengHei" w:eastAsia="Microsoft JhengHei"/>
                <w:sz w:val="17"/>
              </w:rPr>
              <w:t>[待填]</w:t>
            </w:r>
          </w:p>
        </w:tc>
        <w:tc>
          <w:tcPr>
            <w:tcW w:type="dxa" w:w="2002"/>
            <w:vAlign w:val="center"/>
            <w:shd w:fill="F2F6FA"/>
          </w:tcPr>
          <w:p>
            <w:pPr>
              <w:spacing w:before="0" w:after="40" w:line="240" w:lineRule="auto"/>
            </w:pPr>
            <w:r>
              <w:rPr>
                <w:rFonts w:ascii="Microsoft JhengHei" w:hAnsi="Microsoft JhengHei" w:eastAsia="Microsoft JhengHei"/>
                <w:sz w:val="17"/>
              </w:rPr>
              <w:t>[待填]</w:t>
            </w:r>
          </w:p>
        </w:tc>
        <w:tc>
          <w:tcPr>
            <w:tcW w:type="dxa" w:w="2002"/>
            <w:vAlign w:val="center"/>
            <w:shd w:fill="F2F6FA"/>
          </w:tcPr>
          <w:p>
            <w:pPr>
              <w:spacing w:before="0" w:after="40" w:line="240" w:lineRule="auto"/>
            </w:pPr>
            <w:r>
              <w:rPr>
                <w:rFonts w:ascii="Microsoft JhengHei" w:hAnsi="Microsoft JhengHei" w:eastAsia="Microsoft JhengHei"/>
                <w:sz w:val="17"/>
              </w:rPr>
              <w:t>[待填]</w:t>
            </w:r>
          </w:p>
        </w:tc>
        <w:tc>
          <w:tcPr>
            <w:tcW w:type="dxa" w:w="2002"/>
            <w:vAlign w:val="center"/>
            <w:shd w:fill="F2F6FA"/>
          </w:tcPr>
          <w:p>
            <w:pPr>
              <w:spacing w:before="0" w:after="40" w:line="240" w:lineRule="auto"/>
            </w:pPr>
            <w:r>
              <w:rPr>
                <w:rFonts w:ascii="Microsoft JhengHei" w:hAnsi="Microsoft JhengHei" w:eastAsia="Microsoft JhengHei"/>
                <w:sz w:val="17"/>
              </w:rPr>
              <w:t>[待填]</w:t>
            </w:r>
          </w:p>
        </w:tc>
        <w:tc>
          <w:tcPr>
            <w:tcW w:type="dxa" w:w="2002"/>
            <w:vAlign w:val="center"/>
            <w:shd w:fill="F2F6FA"/>
          </w:tcPr>
          <w:p>
            <w:pPr>
              <w:spacing w:before="0" w:after="40" w:line="240" w:lineRule="auto"/>
            </w:pPr>
            <w:r>
              <w:rPr>
                <w:rFonts w:ascii="Microsoft JhengHei" w:hAnsi="Microsoft JhengHei" w:eastAsia="Microsoft JhengHei"/>
                <w:sz w:val="17"/>
              </w:rPr>
              <w:t>[待填]</w:t>
            </w:r>
          </w:p>
        </w:tc>
      </w:tr>
    </w:tbl>
    <w:p>
      <w:pPr>
        <w:pStyle w:val="Heading2"/>
        <w:keepNext/>
        <w:keepLines/>
      </w:pPr>
      <w:r>
        <w:t>4. 核定後聘書與異常處理</w:t>
      </w:r>
    </w:p>
    <w:tbl>
      <w:tblPr>
        <w:tblStyle w:val="TableGrid"/>
        <w:tblW w:type="auto" w:w="0"/>
        <w:tblLayout w:type="autofit"/>
        <w:tblLook w:firstColumn="1" w:firstRow="1" w:lastColumn="0" w:lastRow="0" w:noHBand="0" w:noVBand="1" w:val="04A0"/>
      </w:tblPr>
      <w:tblGrid>
        <w:gridCol w:w="2502"/>
        <w:gridCol w:w="2502"/>
        <w:gridCol w:w="2502"/>
        <w:gridCol w:w="2502"/>
      </w:tblGrid>
      <w:tr>
        <w:trPr>
          <w:cantSplit/>
          <w:tblHeader w:val="true"/>
        </w:trPr>
        <w:tc>
          <w:tcPr>
            <w:tcW w:type="dxa" w:w="2502"/>
            <w:vAlign w:val="center"/>
            <w:shd w:fill="1F4E78"/>
          </w:tcPr>
          <w:p>
            <w:pPr>
              <w:keepNext/>
              <w:keepLines/>
              <w:spacing w:before="0" w:after="40" w:line="240" w:lineRule="auto"/>
            </w:pPr>
            <w:r>
              <w:rPr>
                <w:rFonts w:ascii="Microsoft JhengHei" w:hAnsi="Microsoft JhengHei" w:eastAsia="Microsoft JhengHei"/>
                <w:b/>
                <w:color w:val="FFFFFF"/>
                <w:sz w:val="17"/>
              </w:rPr>
              <w:t>控制點</w:t>
            </w:r>
          </w:p>
        </w:tc>
        <w:tc>
          <w:tcPr>
            <w:tcW w:type="dxa" w:w="2502"/>
            <w:vAlign w:val="center"/>
            <w:shd w:fill="1F4E78"/>
          </w:tcPr>
          <w:p>
            <w:pPr>
              <w:keepNext/>
              <w:keepLines/>
              <w:spacing w:before="0" w:after="40" w:line="240" w:lineRule="auto"/>
            </w:pPr>
            <w:r>
              <w:rPr>
                <w:rFonts w:ascii="Microsoft JhengHei" w:hAnsi="Microsoft JhengHei" w:eastAsia="Microsoft JhengHei"/>
                <w:b/>
                <w:color w:val="FFFFFF"/>
                <w:sz w:val="17"/>
              </w:rPr>
              <w:t>檢核內容</w:t>
            </w:r>
          </w:p>
        </w:tc>
        <w:tc>
          <w:tcPr>
            <w:tcW w:type="dxa" w:w="2502"/>
            <w:vAlign w:val="center"/>
            <w:shd w:fill="1F4E78"/>
          </w:tcPr>
          <w:p>
            <w:pPr>
              <w:keepNext/>
              <w:keepLines/>
              <w:spacing w:before="0" w:after="40" w:line="240" w:lineRule="auto"/>
            </w:pPr>
            <w:r>
              <w:rPr>
                <w:rFonts w:ascii="Microsoft JhengHei" w:hAnsi="Microsoft JhengHei" w:eastAsia="Microsoft JhengHei"/>
                <w:b/>
                <w:color w:val="FFFFFF"/>
                <w:sz w:val="17"/>
              </w:rPr>
              <w:t>未符合時處理</w:t>
            </w:r>
          </w:p>
        </w:tc>
        <w:tc>
          <w:tcPr>
            <w:tcW w:type="dxa" w:w="2502"/>
            <w:vAlign w:val="center"/>
            <w:shd w:fill="1F4E78"/>
          </w:tcPr>
          <w:p>
            <w:pPr>
              <w:keepNext/>
              <w:keepLines/>
              <w:spacing w:before="0" w:after="40" w:line="240" w:lineRule="auto"/>
            </w:pPr>
            <w:r>
              <w:rPr>
                <w:rFonts w:ascii="Microsoft JhengHei" w:hAnsi="Microsoft JhengHei" w:eastAsia="Microsoft JhengHei"/>
                <w:b/>
                <w:color w:val="FFFFFF"/>
                <w:sz w:val="17"/>
              </w:rPr>
              <w:t>紀錄索引</w:t>
            </w:r>
          </w:p>
        </w:tc>
      </w:tr>
      <w:tr>
        <w:trPr>
          <w:cantSplit/>
        </w:trPr>
        <w:tc>
          <w:tcPr>
            <w:tcW w:type="dxa" w:w="2502"/>
            <w:vAlign w:val="center"/>
          </w:tcPr>
          <w:p>
            <w:pPr>
              <w:spacing w:before="0" w:after="40" w:line="240" w:lineRule="auto"/>
            </w:pPr>
            <w:r>
              <w:rPr>
                <w:rFonts w:ascii="Microsoft JhengHei" w:hAnsi="Microsoft JhengHei" w:eastAsia="Microsoft JhengHei"/>
                <w:sz w:val="17"/>
              </w:rPr>
              <w:t>聘書簽發前</w:t>
            </w:r>
          </w:p>
        </w:tc>
        <w:tc>
          <w:tcPr>
            <w:tcW w:type="dxa" w:w="2502"/>
            <w:vAlign w:val="center"/>
          </w:tcPr>
          <w:p>
            <w:pPr>
              <w:spacing w:before="0" w:after="40" w:line="240" w:lineRule="auto"/>
            </w:pPr>
            <w:r>
              <w:rPr>
                <w:rFonts w:ascii="Microsoft JhengHei" w:hAnsi="Microsoft JhengHei" w:eastAsia="Microsoft JhengHei"/>
                <w:sz w:val="17"/>
              </w:rPr>
              <w:t>錄取決議已核定；姓名、課程、期間、工作內容、報酬／權利義務依據與簽署權責一致。</w:t>
            </w:r>
          </w:p>
        </w:tc>
        <w:tc>
          <w:tcPr>
            <w:tcW w:type="dxa" w:w="2502"/>
            <w:vAlign w:val="center"/>
          </w:tcPr>
          <w:p>
            <w:pPr>
              <w:spacing w:before="0" w:after="40" w:line="240" w:lineRule="auto"/>
            </w:pPr>
            <w:r>
              <w:rPr>
                <w:rFonts w:ascii="Microsoft JhengHei" w:hAnsi="Microsoft JhengHei" w:eastAsia="Microsoft JhengHei"/>
                <w:sz w:val="17"/>
              </w:rPr>
              <w:t>未核定、資格未驗或資料不符，不簽發；退回補正並保留版本。</w:t>
            </w:r>
          </w:p>
        </w:tc>
        <w:tc>
          <w:tcPr>
            <w:tcW w:type="dxa" w:w="2502"/>
            <w:vAlign w:val="center"/>
          </w:tcPr>
          <w:p>
            <w:pPr>
              <w:spacing w:before="0" w:after="40" w:line="240" w:lineRule="auto"/>
            </w:pPr>
            <w:r>
              <w:rPr>
                <w:rFonts w:ascii="Microsoft JhengHei" w:hAnsi="Microsoft JhengHei" w:eastAsia="Microsoft JhengHei"/>
                <w:sz w:val="17"/>
              </w:rPr>
              <w:t>[待填]</w:t>
            </w:r>
          </w:p>
        </w:tc>
      </w:tr>
      <w:tr>
        <w:trPr>
          <w:cantSplit/>
        </w:trPr>
        <w:tc>
          <w:tcPr>
            <w:tcW w:type="dxa" w:w="2502"/>
            <w:vAlign w:val="center"/>
            <w:shd w:fill="F2F6FA"/>
          </w:tcPr>
          <w:p>
            <w:pPr>
              <w:spacing w:before="0" w:after="40" w:line="240" w:lineRule="auto"/>
            </w:pPr>
            <w:r>
              <w:rPr>
                <w:rFonts w:ascii="Microsoft JhengHei" w:hAnsi="Microsoft JhengHei" w:eastAsia="Microsoft JhengHei"/>
                <w:sz w:val="17"/>
              </w:rPr>
              <w:t>聘書送達／接受</w:t>
            </w:r>
          </w:p>
        </w:tc>
        <w:tc>
          <w:tcPr>
            <w:tcW w:type="dxa" w:w="2502"/>
            <w:vAlign w:val="center"/>
            <w:shd w:fill="F2F6FA"/>
          </w:tcPr>
          <w:p>
            <w:pPr>
              <w:spacing w:before="0" w:after="40" w:line="240" w:lineRule="auto"/>
            </w:pPr>
            <w:r>
              <w:rPr>
                <w:rFonts w:ascii="Microsoft JhengHei" w:hAnsi="Microsoft JhengHei" w:eastAsia="Microsoft JhengHei"/>
                <w:sz w:val="17"/>
              </w:rPr>
              <w:t>記錄簽發人、日期、版本、送達及接受／婉拒狀態。</w:t>
            </w:r>
          </w:p>
        </w:tc>
        <w:tc>
          <w:tcPr>
            <w:tcW w:type="dxa" w:w="2502"/>
            <w:vAlign w:val="center"/>
            <w:shd w:fill="F2F6FA"/>
          </w:tcPr>
          <w:p>
            <w:pPr>
              <w:spacing w:before="0" w:after="40" w:line="240" w:lineRule="auto"/>
            </w:pPr>
            <w:r>
              <w:rPr>
                <w:rFonts w:ascii="Microsoft JhengHei" w:hAnsi="Microsoft JhengHei" w:eastAsia="Microsoft JhengHei"/>
                <w:sz w:val="17"/>
              </w:rPr>
              <w:t>未接受不得列為已聘任；依核定候補程序處理。</w:t>
            </w:r>
          </w:p>
        </w:tc>
        <w:tc>
          <w:tcPr>
            <w:tcW w:type="dxa" w:w="2502"/>
            <w:vAlign w:val="center"/>
            <w:shd w:fill="F2F6FA"/>
          </w:tcPr>
          <w:p>
            <w:pPr>
              <w:spacing w:before="0" w:after="40" w:line="240" w:lineRule="auto"/>
            </w:pPr>
            <w:r>
              <w:rPr>
                <w:rFonts w:ascii="Microsoft JhengHei" w:hAnsi="Microsoft JhengHei" w:eastAsia="Microsoft JhengHei"/>
                <w:sz w:val="17"/>
              </w:rPr>
              <w:t>[待填]</w:t>
            </w:r>
          </w:p>
        </w:tc>
      </w:tr>
      <w:tr>
        <w:trPr>
          <w:cantSplit/>
        </w:trPr>
        <w:tc>
          <w:tcPr>
            <w:tcW w:type="dxa" w:w="2502"/>
            <w:vAlign w:val="center"/>
          </w:tcPr>
          <w:p>
            <w:pPr>
              <w:spacing w:before="0" w:after="40" w:line="240" w:lineRule="auto"/>
            </w:pPr>
            <w:r>
              <w:rPr>
                <w:rFonts w:ascii="Microsoft JhengHei" w:hAnsi="Microsoft JhengHei" w:eastAsia="Microsoft JhengHei"/>
                <w:sz w:val="17"/>
              </w:rPr>
              <w:t>資格異動／申訴</w:t>
            </w:r>
          </w:p>
        </w:tc>
        <w:tc>
          <w:tcPr>
            <w:tcW w:type="dxa" w:w="2502"/>
            <w:vAlign w:val="center"/>
          </w:tcPr>
          <w:p>
            <w:pPr>
              <w:spacing w:before="0" w:after="40" w:line="240" w:lineRule="auto"/>
            </w:pPr>
            <w:r>
              <w:rPr>
                <w:rFonts w:ascii="Microsoft JhengHei" w:hAnsi="Microsoft JhengHei" w:eastAsia="Microsoft JhengHei"/>
                <w:sz w:val="17"/>
              </w:rPr>
              <w:t>記錄新資料、影響、覆核及權責決定。</w:t>
            </w:r>
          </w:p>
        </w:tc>
        <w:tc>
          <w:tcPr>
            <w:tcW w:type="dxa" w:w="2502"/>
            <w:vAlign w:val="center"/>
          </w:tcPr>
          <w:p>
            <w:pPr>
              <w:spacing w:before="0" w:after="40" w:line="240" w:lineRule="auto"/>
            </w:pPr>
            <w:r>
              <w:rPr>
                <w:rFonts w:ascii="Microsoft JhengHei" w:hAnsi="Microsoft JhengHei" w:eastAsia="Microsoft JhengHei"/>
                <w:sz w:val="17"/>
              </w:rPr>
              <w:t>涉及不公平或資料疑義時暫停相關決定並交權責人處理。</w:t>
            </w:r>
          </w:p>
        </w:tc>
        <w:tc>
          <w:tcPr>
            <w:tcW w:type="dxa" w:w="2502"/>
            <w:vAlign w:val="center"/>
          </w:tcPr>
          <w:p>
            <w:pPr>
              <w:spacing w:before="0" w:after="40" w:line="240" w:lineRule="auto"/>
            </w:pPr>
            <w:r>
              <w:rPr>
                <w:rFonts w:ascii="Microsoft JhengHei" w:hAnsi="Microsoft JhengHei" w:eastAsia="Microsoft JhengHei"/>
                <w:sz w:val="17"/>
              </w:rPr>
              <w:t>[待填]</w:t>
            </w:r>
          </w:p>
        </w:tc>
      </w:tr>
    </w:tbl>
    <w:p>
      <w:pPr>
        <w:keepLines/>
        <w:spacing w:before="40" w:after="80"/>
      </w:pPr>
      <w:r>
        <w:rPr>
          <w:rFonts w:ascii="Microsoft JhengHei" w:hAnsi="Microsoft JhengHei" w:eastAsia="Microsoft JhengHei"/>
          <w:b w:val="0"/>
          <w:i w:val="0"/>
          <w:sz w:val="18"/>
        </w:rPr>
        <w:t>徵聘公告前須完成：資格與評分標準核定、公告版本確認、評委迴避安排、候選資料最小化與權限設定、聘書簽發權責及申訴處理方式。所有數值、權重、期間與人名依正式核定／真實紀錄填入。</w:t>
      </w:r>
    </w:p>
    <w:p>
      <w:pPr>
        <w:keepLines/>
        <w:spacing w:before="0" w:after="20" w:line="250" w:lineRule="auto"/>
      </w:pPr>
      <w:r>
        <w:rPr>
          <w:rFonts w:ascii="Microsoft JhengHei" w:hAnsi="Microsoft JhengHei" w:eastAsia="Microsoft JhengHei"/>
          <w:b w:val="0"/>
          <w:color w:val="62748A"/>
          <w:sz w:val="16"/>
        </w:rPr>
        <w:t>來源與真實性：官方要求依查核表所列；本稿為可編輯工作稿。協會現況、核定、執行、第三方證明及成果均以取得的真實原始資料為準。</w:t>
      </w:r>
    </w:p>
    <w:sectPr w:rsidR="00FC693F" w:rsidRPr="0006063C" w:rsidSect="00034616">
      <w:headerReference w:type="default" r:id="rId9"/>
      <w:footerReference w:type="default" r:id="rId10"/>
      <w:pgSz w:w="11909" w:h="16834"/>
      <w:pgMar w:top="835"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2748A"/>
        <w:sz w:val="16"/>
      </w:rPr>
      <w:t xml:space="preserve">待本會填實、審議核定後使用｜第 </w:t>
    </w:r>
    <w:r>
      <w:rPr>
        <w:rFonts w:ascii="Microsoft JhengHei" w:hAnsi="Microsoft JhengHei" w:eastAsia="Microsoft JhengHei"/>
        <w:b w:val="0"/>
        <w:color w:val="62748A"/>
        <w:sz w:val="16"/>
      </w:rPr>
      <w:fldChar w:fldCharType="begin"/>
      <w:instrText xml:space="preserve">PAGE</w:instrText>
      <w:fldChar w:fldCharType="separate"/>
      <w:t>1</w:t>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2748A"/>
        <w:sz w:val="16"/>
      </w:rPr>
      <w:t>社團法人屏東縣原始點關懷協會｜文件工作稿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0" w:lineRule="auto"/>
    </w:pPr>
    <w:rPr>
      <w:rFonts w:ascii="Microsoft JhengHei" w:hAnsi="Microsoft JhengHei" w:eastAsia="Microsoft JhengHei"/>
      <w:color w:val="24364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83B63"/>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45A8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183B6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