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100"/>
      </w:pPr>
      <w:r>
        <w:rPr>
          <w:rFonts w:ascii="Microsoft JhengHei" w:hAnsi="Microsoft JhengHei" w:eastAsia="Microsoft JhengHei"/>
          <w:b/>
          <w:color w:val="173F66"/>
          <w:sz w:val="42"/>
        </w:rPr>
        <w:t>會員人數及會費收入逐年變化分析報告</w:t>
      </w:r>
    </w:p>
    <w:p>
      <w:pPr>
        <w:keepNext/>
        <w:spacing w:after="80" w:line="259" w:lineRule="auto"/>
      </w:pPr>
      <w:r>
        <w:t>I19-E23｜文件 0134｜成果／價值量化與驗證工作稿 R02｜編製日期：2026-09-30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6"/>
      </w:tblGrid>
      <w:tr>
        <w:trPr>
          <w:cantSplit/>
        </w:trPr>
        <w:tc>
          <w:tcPr>
            <w:tcW w:type="dxa" w:w="100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2CC"/>
          </w:tcPr>
          <w:p>
            <w:pPr>
              <w:spacing w:before="0" w:after="0" w:line="254" w:lineRule="auto"/>
            </w:pPr>
            <w:r>
              <w:rPr>
                <w:rFonts w:ascii="Microsoft JhengHei" w:hAnsi="Microsoft JhengHei" w:eastAsia="Microsoft JhengHei"/>
                <w:b/>
                <w:color w:val="5B4A00"/>
                <w:sz w:val="18"/>
              </w:rPr>
            </w:r>
            <w:r>
              <w:rPr>
                <w:rFonts w:ascii="Microsoft JhengHei" w:hAnsi="Microsoft JhengHei" w:eastAsia="Microsoft JhengHei"/>
                <w:b/>
                <w:color w:val="5B4A00"/>
                <w:sz w:val="18"/>
              </w:rPr>
              <w:t>工作稿／待取得並核對真實資料。此文件未填入會員數、會費金額、增率或成效；不代表協會已逐年成長、已核定目標、已完成審查或已取得第三方證明。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30 秒先讀這裡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先看項目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判讀／使用方式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官方查核要求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「會員人數及會費收入均逐年增加。」逐項檢視會員數與會費實收的連續年度變化。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目前資料狀態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本工作稿製作前，本機來源包與已查 Drive 總庫中未找到可核驗的本會會員名冊、會費收據或財務總帳原件；這只表示本次檢索未取得，不代表協會沒有資料。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本件要產出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以相同年度、相同會員定義及會計口徑，完成母體、來源、基準、實績、目標、計算、限制與覆核的完整分析。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目前結論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7"/>
              </w:rPr>
              <w:t>待真實原件填入與覆核；目前不判定會員人數或會費收入是否逐年增加，不繪製假趨勢。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一、成果命題與直接回應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成果命題：在協會採用並核定的相同會員資格、年度與會費認列口徑下，連續年度末有效會員數與同期間實收會費是否逐年增加。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本件僅負責會員人數及會員會費的計數、金額、計算口徑、比較判定及證據定位；課程收入、補助、捐款及其他收入另列，不得併稱會費。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結果欄須以每年原始值直接回答查核要求。資料不完整、年度口徑變更或分母為零時，填「尚無法判定」及原因，不以目標或推估取代實績。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二、母體、期間與可比口徑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設計欄位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本次填寫／核定內容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比較年度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[待填：至少三個連續且已結帳／完成名冊核對的會計年度；期間起訖與年度末日]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會員母體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[待填：依章程及本會核定規則，逐年末仍具有效會員資格者；列示會員類別及納入條件]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會員計數單位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[待填：以唯一會員代碼去重；入會、復會、退會、除名及其他異動依原始名冊判定]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會費口徑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[待填：僅計本會依核定規定收取的會員會費；說明現金／權責認列、收款期間與會計科目]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缺漏與排除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[待填：未回覆、名冊缺頁、未結帳、減免、欠繳、重複或期間不可比事項及處理理由]</w:t>
            </w:r>
          </w:p>
        </w:tc>
      </w:tr>
      <w:tr>
        <w:trPr>
          <w:cantSplit/>
        </w:trPr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事前目標</w:t>
            </w:r>
          </w:p>
        </w:tc>
        <w:tc>
          <w:tcPr>
            <w:tcW w:type="dxa" w:w="50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[填入比較期前已有書面核定的目標；未核定時標示「未核定」，不得倒填目標]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三、證據強度工作分級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以下 E0–E3 是本工作稿為整理來源完整度提出的工作分級，並非 TTQS 官方評分。須由本會審議採用後才作為正式內控口徑；本次尚不指定協會現況級距。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級別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最低資料條件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可支持的判讀／升級缺口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E0｜待取得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未取得可回查的本會原始名冊及會費／帳務資料。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不作成長結論。先取得適用年度原件及來源位置。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E1｜內部原始紀錄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至少取得名冊或帳務原件之一，能辨識期間與欄位，但尚未完成雙方勾稽或年度可比性核對。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僅作初步整理；補齊另一類原件、異動明細及差異說明後再評估升級。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E2｜內部勾稽完成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連續年度名冊異動可平衡；應收、實收、收據／銀行及總帳可勾稽；口徑、缺漏與覆核可追溯。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可作內部核驗分析；若需更高獨立性，取得具範圍與方法說明的外部獨立覆核。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E3｜獨立覆核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符合 E2，另有會計師、主管機關或原始出具單位的獨立查證／確認，並保留其範圍、日期及結論。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可說明外部覆核到何種範圍；不得擴大為外部單位未確認的事實。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四、原始資料血緣與取得清單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逐項記錄原始出具者、取得日期、期間、檔名、頁次／欄位、檔案雜湊及覆核者。會員姓名與個資留在權限控管的原件；本報告使用去識別代碼。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來源代碼／資料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應取得的原始欄位或用途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檔名／位置／頁次／SHA-256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來源狀態／覆核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S1 會員資格與會費規則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章程、會員類別、入退會生效規則、年度會費標準與核定依據。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S2 年度會員名冊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各年度末有效會員、類別、唯一代碼、名冊日期及版本。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S3 會員異動紀錄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新增、復會、退會、除名等生效日期及原始依據；連接期初與期末。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S4 會費收取原件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應收名單／金額、收據、匯款或銀行紀錄、收款日期、欠繳與退款。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S5 帳務與年度報表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會費科目明細、總帳、收支報表或經核定的年度財務報表。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S6 減免與差異依據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核定減免、補收、沖銷、跨年度收款、科目變更及差異說明。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S7 覆核與權限紀錄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承辦、覆核、核定權限、日期、調閱位置及資料使用授權。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待取得／待核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五、會員人數年度表與名冊勾稽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會員期末數應由同一會員定義的期初數加新增／復會、減退會／除名等有效異動計得；異動類別依本會正式規則及原件確認，不自行新增未核定類別。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會計年度末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期初有效會員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新增／復會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退會／除名等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期末有效會員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名冊版本／位置／覆核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[年度一：待填]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[年度二：待填]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[年度三：待填]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勾稽檢核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計算／判斷方式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核對結果與差異處理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年度平衡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期初有效會員＋新增／復會－退出／失效＝期末有效會員。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[待計算；差異為零仍須留原件位置；有差異須列原因與覆核]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跨年銜接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本年度期初應等於前一年度期末；不同時逐筆追查期間與定義變更。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[待核對]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重複與資格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依唯一代碼去重，逐年確認會員狀態、類別、資格及生效日。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[待核對]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六、會費應收、實收與收入分類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本表只計會員會費。課程／服務收入、補助、捐款與其他收入須依帳務來源另行分類，不得併入會費以形成成長。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blHeader w:val="true"/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年度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應收會員數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應收會費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實收會費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減免／欠繳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退款／調整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收據、銀行及帳冊位置／覆核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[年度一：待填]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[年度二：待填]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[年度三：待填]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42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收入類別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處理口徑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原始帳務欄位／核對位置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會員會費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列入本件；與核定費率、應收名單、收據／銀行及總帳勾稽。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課程／服務收入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分開列示；不併入會員會費。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補助／捐款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分開列示並依帳務分類；不併入會員會費。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其他收入／調整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逐項說明性質、年度及認列方式；無依據不得改列會費。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七、指標資料表與計算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指標／單位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分子／分母或母體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基準、比較實績與期間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事前目標／來源／覆核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年末有效會員數（人）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分子：年度末符合本會有效會員定義的去重會員數。分母：不適用；另列母體範圍與名冊涵蓋率。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基準年度： [待填]；比較年度： [待填]；三年各年度原始人數及定義：[待填]。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目標：[事前核定值／未核定]；來源：S2/S3；覆核：[待填]。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會員人數年增率（%）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分子：本年度末人數－前年度末人數。分母：前年度末有效會員數。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各年度逐年比較；若基期為 0 或會員定義變更，不計百分比，改列絕對差並說明。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目標：[事前核定值／未核定]；來源：S2/S3；覆核：[待填]。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會費實收額（新臺幣）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分子：該年度依一致會計口徑確認的實收會員會費總額。分母：不適用；另列應收會員及應收金額。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基準年度：[待填]；比較年度：[待填]；金額須與收據、銀行及帳冊勾稽。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目標：[事前核定值／未核定]；來源：S4/S5/S6；覆核：[待填]。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會費實收年增率（%）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分子：本年度實收會費－前年度實收會費。分母：前年度同口徑實收會費。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逐年列絕對差、年增率及會計基礎；基期為 0 或口徑不可比時不計百分比。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目標：[事前核定值／未核定]；來源：S4/S5/S6；覆核：[待填]。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公式：會員年增率＝（本年度末有效會員數－前年度末有效會員數）÷前年度末有效會員數 × 100%；會費實收年增率＝（本年度同口徑實收會費－前年度同口徑實收會費）÷前年度同口徑實收會費 × 100%。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不同年度不得混用現金制與權責制；遇會費標準、認列科目、財務期間或資格定義變更，先揭露變更並建立可比口徑，否則不下連續成長結論。</w:t>
      </w:r>
    </w:p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八、年度趨勢圖架構（待真實資料）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圖 1：年度末有效會員數趨勢，橫軸為連續會計年度，縱軸為會員人數 n。圖 2：同期間會員會費實收金額趨勢，縱軸為新臺幣；與會員人數分圖呈現，避免不同單位共用刻度。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目前沒有已核實年度數值，本稿不繪曲線、不填示例點。完成下表並核對來源後，才以同一年度定義繪圖；圖上須標明期間、n／金額、會計基礎及來源。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年末有效會員數 n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會員會費實收額（新臺幣）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會費認列基礎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資料來源代碼／位置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覆核狀態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[年度一：待填]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[年度二：待填]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待核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[年度三：待填]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[待核定口徑]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[S2/S4/S5位置]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待核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圖表輸出位置：圖 1 [待填：核實後插入會員人數圖]；圖 2 [待填：核實後插入會費實收額圖]。本文件目前僅提供圖表規格與資料欄，不含假資料或假趨勢。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九、具體案例／紀錄對照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只使用可回查且獲授權的去識別紀錄，例如會員資格異動、會費收取或減免的來源鏈；個案說明不得取代年度總數，也不得據此推論訓練成效或因果。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案例代碼／期間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基線狀態與來源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實際異動／事件及日期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後續狀態與原件位置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個資授權／覆核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可支持範圍與限制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[待填：去識別代碼]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[待核]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[待判；不可單獨代表全體趨勢]</w:t>
            </w:r>
          </w:p>
        </w:tc>
      </w:tr>
      <w:tr>
        <w:trPr>
          <w:cantSplit/>
        </w:trPr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[待填：去識別代碼]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[待真實資料]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[待核]</w:t>
            </w:r>
          </w:p>
        </w:tc>
        <w:tc>
          <w:tcPr>
            <w:tcW w:type="dxa" w:w="16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5"/>
              </w:rPr>
              <w:t>[待判；不可單獨代表全體趨勢]</w:t>
            </w:r>
          </w:p>
        </w:tc>
      </w:tr>
    </w:tbl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十、與 I17／I18／I19 交叉驗證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交叉項目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應核對的關係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引用來源／欄位／期間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結果與覆核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I17｜訓練執行與參與資料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只用以核對課程／參與背景；不得拿參訓人次替代會員數或會費數。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[待填：I17文件、原件位置及期間]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[待核／不適用及理由]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I18｜組織或會員變化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與會員年度變化資料核對同一年度末、資格定義與來源；若引用 I18-E22，回到原始名冊確認。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[待填：I18文件、名冊來源、頁次／欄位]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[待核／差異說明]</w:t>
            </w:r>
          </w:p>
        </w:tc>
      </w:tr>
      <w:tr>
        <w:trPr>
          <w:cantSplit/>
        </w:trP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I19｜其他成果／組織收入（含 E32）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與其他 I19 結果以引用為主；E23只擁有會員及會費數，E32之總收入／非會費收入另列並核對，不重複計算。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[待填：I19文件、科目、原件位置]</w:t>
            </w:r>
          </w:p>
        </w:tc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[待核／差異說明]</w:t>
            </w:r>
          </w:p>
        </w:tc>
      </w:tr>
    </w:tbl>
    <w:p>
      <w:pPr>
        <w:pStyle w:val="Heading1"/>
        <w:keepNext/>
        <w:keepLines/>
        <w:pageBreakBefore w:val="0"/>
        <w:spacing w:before="160" w:after="80"/>
      </w:pPr>
      <w:r>
        <w:rPr>
          <w:rFonts w:ascii="Microsoft JhengHei" w:hAnsi="Microsoft JhengHei" w:eastAsia="Microsoft JhengHei"/>
          <w:b/>
          <w:color w:val="173F66"/>
          <w:sz w:val="26"/>
        </w:rPr>
        <w:t>十一、結果判讀、限制與改善決策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判讀問題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結果欄／規則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最低證據或處理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三年是否完整且可比？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[待填：完整／不完整／不可比]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列年度、期間、定義、會費標準、認列基礎及變更。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會員數是否逐年增加？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[待填：增加／未增加／尚無法判定]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三個年度末名冊與異動勾稽均可回查；逐年比較。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會費實收是否逐年增加？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[待填：增加／未增加／尚無法判定]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收據、銀行紀錄、明細帳與總帳勾稽；排除非會費收入。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證據強度與限制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[待填：本文件 E0–E3 工作分級；待缺資料與覆核]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說明缺漏、欠繳、減免、未結帳、口徑差異、未回覆及可歸因範圍。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直接回答查核要求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[待填：按會員數及會費實收逐年分別作結論；兩者均具證據才可回答「均逐年增加」]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不以計畫目標、單一個案、總收入或課程收入推論。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分析結論草稿：[待原始資料及覆核完成後填寫：期間＿＿；會員數趨勢＿＿；會費實收趨勢＿＿；是否支持官方要求＿＿；主要限制＿＿；來源位置＿＿。]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改善／擴散決策與下次驗證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差異／原因或可行作法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改善／維持／擴散決定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責任角色／期限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下次指標與期間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驗證來源／覆核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[待據真實差異與原因填寫]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[待討論；未核定不標為決議]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[待填：會員／會費口徑及時間]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[待據真實差異與原因填寫]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[待討論；未核定不標為決議]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[待填：會員／會費口徑及時間]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</w:tbl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如發現成長，不直接歸因於健康教育或傳統整復推拿課程；須有適當期間、可核對的介入資料及其他因素分析。課程內容依實際市場需求另行檢討，不從會員／會費變化臆測需求。</w:t>
      </w:r>
    </w:p>
    <w:p>
      <w:pPr>
        <w:pStyle w:val="Heading2"/>
        <w:keepNext/>
        <w:keepLines/>
        <w:pageBreakBefore w:val="0"/>
        <w:spacing w:before="100" w:after="80"/>
      </w:pPr>
      <w:r>
        <w:rPr>
          <w:rFonts w:ascii="Microsoft JhengHei" w:hAnsi="Microsoft JhengHei" w:eastAsia="Microsoft JhengHei"/>
          <w:b/>
          <w:color w:val="173F66"/>
          <w:sz w:val="22"/>
        </w:rPr>
        <w:t>十二、附件索引、升格檢核與填寫確認</w:t>
      </w:r>
    </w:p>
    <w:p>
      <w:pPr>
        <w:spacing w:after="80" w:line="259" w:lineRule="auto"/>
      </w:pPr>
      <w:r>
        <w:rPr>
          <w:rFonts w:ascii="Microsoft JhengHei" w:hAnsi="Microsoft JhengHei" w:eastAsia="Microsoft JhengHei"/>
          <w:b w:val="0"/>
          <w:color w:val="243447"/>
          <w:sz w:val="19"/>
        </w:rPr>
        <w:t>升格前逐件補齊：正式會員與會費規則；連續年度末會員名冊及異動原件；會費應收／實收、減免及欠費依據；收據、銀行紀錄、總帳與年度報表；差異處理；來源位置與 SHA-256；資料權限與授權；承辦及覆核紀錄。缺任一關鍵年度或無法勾稽時，結論保持「尚無法判定」。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附件代碼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原件名稱／出具者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日期／涵蓋期間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頁次／欄位／位置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SHA-256／狀態／覆核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A01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A02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A03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A04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[待真實資料]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  <w:tc>
          <w:tcPr>
            <w:tcW w:type="dxa" w:w="20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填寫角色／日期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核對項目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173F66"/>
          </w:tcPr>
          <w:p>
            <w:pPr>
              <w:spacing w:before="0" w:after="0" w:line="254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姓名／簽核／原件位置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承辦人：[待填]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資料錄入及公式底稿；含待補清單。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[待實際填寫]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覆核人：[待填]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年度母體、勾稽、來源與計算；不得只覆核結論。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[待實際填寫]</w:t>
            </w:r>
          </w:p>
        </w:tc>
      </w:tr>
      <w:tr>
        <w:trPr>
          <w:cantSplit/>
        </w:trPr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核定權責：[待填]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核定目標、工作分級與可對外使用範圍；未核定保持草稿。</w:t>
            </w:r>
          </w:p>
        </w:tc>
        <w:tc>
          <w:tcPr>
            <w:tcW w:type="dxa" w:w="33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FFFFF"/>
          </w:tcPr>
          <w:p>
            <w:pPr>
              <w:spacing w:before="0" w:after="0" w:line="254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447"/>
                <w:sz w:val="16"/>
              </w:rPr>
              <w:t>[待核定；不得代簽]</w:t>
            </w:r>
          </w:p>
        </w:tc>
      </w:tr>
    </w:tbl>
    <w:p>
      <w:pPr>
        <w:keepNext w:val="0"/>
        <w:spacing w:before="0" w:after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會員人數及會費收入逐年變化分析報告</dc:title>
  <dc:subject>I19-E23成果／價值量化與驗證工作稿；待補本會真實名冊及會費原件</dc:subject>
  <dc:creator>社團法人屏東縣原始點關懷協會</dc:creator>
  <cp:keywords>I19-E23,會員人數,會費收入,待真實資料,工作稿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