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圖1｜個人行動計畫與成果移轉路徑</w:t>
      </w:r>
    </w:p>
    <w:p>
      <w:pPr>
        <w:spacing w:before="20" w:after="40"/>
      </w:pPr>
      <w:r>
        <w:rPr>
          <w:sz w:val="17"/>
          <w:rFonts w:eastAsia="Microsoft JhengHei"/>
        </w:rPr>
        <w:t>行動與成效須由本人或可核驗來源確認，不以建議或計畫代替已發生成果。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學習目標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行動計畫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實務練習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支持回饋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進度追蹤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成效證據</w:t>
            </w:r>
          </w:p>
        </w:tc>
      </w:tr>
    </w:tbl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  <w:pageBreakBefore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  <w:pageBreakBefore w:val="0"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