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2. 改善措施與預期變化</w:t>
      </w:r>
    </w:p>
    <w:p>
      <w:pPr>
        <w:keepNext/>
        <w:keepLines/>
        <w:spacing w:after="100"/>
      </w:pPr>
      <w:r>
        <w:rPr>
          <w:rFonts w:ascii="Microsoft JhengHei" w:hAnsi="Microsoft JhengHei" w:eastAsia="Microsoft JhengHei"/>
          <w:sz w:val="20"/>
        </w:rPr>
        <w:t>有差距時，先勾選主要環節：□需求　□設計　□執行　□追蹤　□其他；附資料依據。證據不足請填「待分析」，不得把假設寫成已確認根因。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t>根因階段／證據／基準值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2"/>
        <w:keepNext/>
        <w:pageBreakBefore/>
        <w:spacing w:before="60" w:after="80"/>
      </w:pPr>
      <w:r>
        <w:rPr>
          <w:rFonts w:ascii="Microsoft JhengHei" w:hAnsi="Microsoft JhengHei" w:eastAsia="Microsoft JhengHei"/>
          <w:sz w:val="24"/>
        </w:rPr>
        <w:t>3.1 資料來源、欄位、期間與完整性核對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每個指標使用唯一來源ID串連下列兩表。完整率＝實有有效筆數÷應有筆數×100%；應有母數無法界定時填「無法界定」並說明依據，資料未取得填「待取得」，不可填0代替。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2016"/>
        <w:gridCol w:w="2232"/>
        <w:gridCol w:w="1987"/>
        <w:gridCol w:w="1944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2016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指標／欄位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來源原件／唯讀位置</w:t>
            </w:r>
          </w:p>
        </w:tc>
        <w:tc>
          <w:tcPr>
            <w:tcW w:type="dxa" w:w="1987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期間／班次／母體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應有筆數／分母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</w:tbl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完整率與缺漏依來源ID逐列核對；若缺值會改變判讀，須列出影響及替代解釋，資料品質不足時不得結案。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1512"/>
        <w:gridCol w:w="1613"/>
        <w:gridCol w:w="1944"/>
        <w:gridCol w:w="2232"/>
        <w:gridCol w:w="878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151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實有有效筆數</w:t>
            </w:r>
          </w:p>
        </w:tc>
        <w:tc>
          <w:tcPr>
            <w:tcW w:type="dxa" w:w="161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完整率／缺漏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缺漏原因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結論影響／替代解釋</w:t>
            </w:r>
          </w:p>
        </w:tc>
        <w:tc>
          <w:tcPr>
            <w:tcW w:type="dxa" w:w="878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覆核者／日期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r>
              <w:t>措施ID／指標／單位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本節措施ID須與第2節相同，以串連原因、措施和結果；未能串連時不得合併判讀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