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0"/>
      </w:pPr>
      <w:r>
        <w:rPr>
          <w:rFonts w:ascii="Microsoft JhengHei" w:hAnsi="Microsoft JhengHei" w:eastAsia="Microsoft JhengHei"/>
          <w:b/>
          <w:color w:val="183B63"/>
          <w:sz w:val="36"/>
        </w:rPr>
        <w:t>課程評量與學員建議檢討紀錄表</w:t>
      </w:r>
    </w:p>
    <w:p>
      <w:pPr>
        <w:keepNext/>
        <w:keepLines/>
        <w:spacing w:before="0" w:after="40" w:line="250" w:lineRule="auto"/>
      </w:pPr>
      <w:r>
        <w:rPr>
          <w:rFonts w:ascii="Microsoft JhengHei" w:hAnsi="Microsoft JhengHei" w:eastAsia="Microsoft JhengHei"/>
          <w:b w:val="0"/>
          <w:color w:val="245A81"/>
          <w:sz w:val="21"/>
        </w:rPr>
        <w:t>I17B-E02｜指標 17｜草案：待確認</w:t>
      </w:r>
    </w:p>
    <w:tbl>
      <w:tblPr>
        <w:tblStyle w:val="TableGrid"/>
        <w:tblW w:type="auto" w:w="0"/>
        <w:tblLook w:firstColumn="1" w:firstRow="1" w:lastColumn="0" w:lastRow="0" w:noHBand="0" w:noVBand="1" w:val="04A0"/>
      </w:tblPr>
      <w:tblGrid>
        <w:gridCol w:w="10009"/>
      </w:tblGrid>
      <w:tr>
        <w:trPr>
          <w:cantSplit/>
        </w:trPr>
        <w:tc>
          <w:tcPr>
            <w:tcW w:type="dxa" w:w="10009"/>
            <w:vAlign w:val="center"/>
            <w:tcMar>
              <w:top w:w="55" w:type="dxa"/>
              <w:start w:w="72" w:type="dxa"/>
              <w:bottom w:w="55" w:type="dxa"/>
              <w:end w:w="72" w:type="dxa"/>
            </w:tcMar>
            <w:shd w:fill="FFF2CC"/>
          </w:tcPr>
          <w:p>
            <w:pPr>
              <w:keepLines/>
              <w:spacing w:before="0" w:after="0" w:line="245" w:lineRule="auto"/>
            </w:pPr>
            <w:r/>
            <w:r>
              <w:rPr>
                <w:rFonts w:ascii="Microsoft JhengHei" w:hAnsi="Microsoft JhengHei" w:eastAsia="Microsoft JhengHei"/>
                <w:b/>
                <w:color w:val="183B63"/>
                <w:sz w:val="19"/>
              </w:rPr>
              <w:t>工作稿｜尚待填入本會真實資料並完成審議核定；不代表課程已辦理、流程已核准、聘任已成立、證明已取得或成果已發生。</w:t>
            </w:r>
          </w:p>
        </w:tc>
      </w:tr>
    </w:tbl>
    <w:p>
      <w:pPr>
        <w:spacing w:after="6" w:line="132" w:lineRule="auto"/>
      </w:pPr>
    </w:p>
    <w:tbl>
      <w:tblPr>
        <w:tblStyle w:val="TableGrid"/>
        <w:tblW w:type="auto" w:w="0"/>
        <w:jc w:val="center"/>
        <w:tblLayout w:type="fixed"/>
        <w:tblLook w:firstColumn="1" w:firstRow="1" w:lastColumn="0" w:lastRow="0" w:noHBand="0" w:noVBand="1" w:val="04A0"/>
      </w:tblPr>
      <w:tblGrid>
        <w:gridCol w:w="1512"/>
        <w:gridCol w:w="8381"/>
      </w:tblGrid>
      <w:tr>
        <w:trPr>
          <w:tblHeader w:val="true"/>
          <w:cantSplit/>
        </w:trPr>
        <w:tc>
          <w:tcPr>
            <w:tcW w:type="dxa" w:w="151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先看</w:t>
            </w:r>
          </w:p>
        </w:tc>
        <w:tc>
          <w:tcPr>
            <w:tcW w:type="dxa" w:w="8381"/>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說明</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文件用途</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檢討評量工具及學員建議與課程目標的連結，記錄採納判斷、修訂及追蹤。</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怎麼使用</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使用實際工具版本、評量原件和去識別化建議紀錄；決議待會議／權責審議。</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評核先看</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本表的流程／檢核／追溯欄位及其後附的真實原始證據索引。</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目前狀態</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只有官方查核要求及空白工作稿；協會現行作法、紀錄、核定與成果均待查證或補入。</w:t>
            </w:r>
          </w:p>
        </w:tc>
      </w:tr>
    </w:tbl>
    <w:p>
      <w:pPr>
        <w:spacing w:after="10" w:line="132" w:lineRule="auto"/>
      </w:pPr>
    </w:p>
    <w:p>
      <w:pPr>
        <w:pStyle w:val="Heading2"/>
        <w:keepNext/>
        <w:keepLines/>
        <w:spacing w:before="60" w:after="40"/>
      </w:pPr>
      <w:r>
        <w:rPr>
          <w:rFonts w:ascii="Microsoft JhengHei" w:hAnsi="Microsoft JhengHei" w:eastAsia="Microsoft JhengHei"/>
          <w:b/>
          <w:color w:val="245A81"/>
          <w:sz w:val="21"/>
        </w:rPr>
        <w:t>官方查核要求</w:t>
      </w:r>
    </w:p>
    <w:p>
      <w:pPr>
        <w:keepLines/>
        <w:spacing w:before="0" w:after="40" w:line="250" w:lineRule="auto"/>
      </w:pPr>
      <w:r>
        <w:rPr>
          <w:rFonts w:ascii="Microsoft JhengHei" w:hAnsi="Microsoft JhengHei" w:eastAsia="Microsoft JhengHei"/>
          <w:b w:val="0"/>
          <w:color w:val="24364B"/>
          <w:sz w:val="21"/>
        </w:rPr>
        <w:t>對課程評量及學員建議進行檢討與紀錄。</w:t>
      </w:r>
    </w:p>
    <w:p>
      <w:pPr>
        <w:pStyle w:val="Heading1"/>
        <w:keepNext/>
        <w:keepLines/>
        <w:spacing w:before="120" w:after="40"/>
      </w:pPr>
      <w:r>
        <w:rPr>
          <w:rFonts w:ascii="Microsoft JhengHei" w:hAnsi="Microsoft JhengHei" w:eastAsia="Microsoft JhengHei"/>
          <w:b/>
          <w:color w:val="183B63"/>
          <w:sz w:val="24"/>
        </w:rPr>
        <w:t>一、檢討範圍與資料清單</w:t>
      </w:r>
    </w:p>
    <w:p>
      <w:pPr>
        <w:keepLines/>
        <w:spacing w:before="0" w:after="44" w:line="250" w:lineRule="auto"/>
      </w:pPr>
      <w:r>
        <w:rPr>
          <w:rFonts w:ascii="Microsoft JhengHei" w:hAnsi="Microsoft JhengHei" w:eastAsia="Microsoft JhengHei"/>
          <w:b w:val="0"/>
          <w:color w:val="24364B"/>
          <w:sz w:val="21"/>
        </w:rPr>
        <w:t>本表用來檢視課程評量工具及學員建議是否能支持課程目標與改進決策。它記錄「評量與建議的檢討」，不替代滿意度問卷、班次結案報告或改善行動方案；各項須以實際原件及版本為準。</w:t>
      </w:r>
    </w:p>
    <w:tbl>
      <w:tblPr>
        <w:tblStyle w:val="TableGrid"/>
        <w:tblW w:type="auto" w:w="0"/>
        <w:jc w:val="center"/>
        <w:tblLayout w:type="fixed"/>
        <w:tblLook w:firstColumn="1" w:firstRow="1" w:lastColumn="0" w:lastRow="0" w:noHBand="0" w:noVBand="1" w:val="04A0"/>
      </w:tblPr>
      <w:tblGrid>
        <w:gridCol w:w="2160"/>
        <w:gridCol w:w="5112"/>
        <w:gridCol w:w="2621"/>
      </w:tblGrid>
      <w:tr>
        <w:trPr>
          <w:tblHeader w:val="true"/>
          <w:cantSplit/>
        </w:trPr>
        <w:tc>
          <w:tcPr>
            <w:tcW w:type="dxa" w:w="2160"/>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資料類別</w:t>
            </w:r>
          </w:p>
        </w:tc>
        <w:tc>
          <w:tcPr>
            <w:tcW w:type="dxa" w:w="511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檢討前核對事項</w:t>
            </w:r>
          </w:p>
        </w:tc>
        <w:tc>
          <w:tcPr>
            <w:tcW w:type="dxa" w:w="2621"/>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資料編號／狀態</w:t>
            </w:r>
          </w:p>
        </w:tc>
      </w:tr>
      <w:tr>
        <w:trPr>
          <w:cantSplit/>
        </w:trPr>
        <w:tc>
          <w:tcPr>
            <w:tcW w:type="dxa" w:w="2160"/>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課程目標與計畫</w:t>
            </w:r>
          </w:p>
        </w:tc>
        <w:tc>
          <w:tcPr>
            <w:tcW w:type="dxa" w:w="51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確認適用版本、目標與事前核定標準。</w:t>
            </w:r>
          </w:p>
        </w:tc>
        <w:tc>
          <w:tcPr>
            <w:tcW w:type="dxa" w:w="262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[待填／待取得]</w:t>
            </w:r>
          </w:p>
        </w:tc>
      </w:tr>
      <w:tr>
        <w:trPr>
          <w:cantSplit/>
        </w:trPr>
        <w:tc>
          <w:tcPr>
            <w:tcW w:type="dxa" w:w="2160"/>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評量工具與結果</w:t>
            </w:r>
          </w:p>
        </w:tc>
        <w:tc>
          <w:tcPr>
            <w:tcW w:type="dxa" w:w="51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核對工具題項、評分規則、原始紀錄及計算口徑。</w:t>
            </w:r>
          </w:p>
        </w:tc>
        <w:tc>
          <w:tcPr>
            <w:tcW w:type="dxa" w:w="262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[待填／待取得]</w:t>
            </w:r>
          </w:p>
        </w:tc>
      </w:tr>
      <w:tr>
        <w:trPr>
          <w:cantSplit/>
        </w:trPr>
        <w:tc>
          <w:tcPr>
            <w:tcW w:type="dxa" w:w="2160"/>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學員建議</w:t>
            </w:r>
          </w:p>
        </w:tc>
        <w:tc>
          <w:tcPr>
            <w:tcW w:type="dxa" w:w="51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保留原意，記錄來源、期間、數量口徑及匿名方式。</w:t>
            </w:r>
          </w:p>
        </w:tc>
        <w:tc>
          <w:tcPr>
            <w:tcW w:type="dxa" w:w="262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[待填／待取得]</w:t>
            </w:r>
          </w:p>
        </w:tc>
      </w:tr>
      <w:tr>
        <w:trPr>
          <w:cantSplit/>
        </w:trPr>
        <w:tc>
          <w:tcPr>
            <w:tcW w:type="dxa" w:w="2160"/>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前次決定與修訂</w:t>
            </w:r>
          </w:p>
        </w:tc>
        <w:tc>
          <w:tcPr>
            <w:tcW w:type="dxa" w:w="51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核對上次決議、課程版本差異及追蹤結果。</w:t>
            </w:r>
          </w:p>
        </w:tc>
        <w:tc>
          <w:tcPr>
            <w:tcW w:type="dxa" w:w="262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[待填／尚待原件]</w:t>
            </w:r>
          </w:p>
        </w:tc>
      </w:tr>
    </w:tbl>
    <w:p>
      <w:pPr>
        <w:spacing w:after="10" w:line="132" w:lineRule="auto"/>
      </w:pPr>
    </w:p>
    <w:p>
      <w:pPr>
        <w:pStyle w:val="Heading2"/>
        <w:keepNext/>
        <w:keepLines/>
        <w:spacing w:before="60" w:after="40"/>
      </w:pPr>
      <w:r>
        <w:rPr>
          <w:rFonts w:ascii="Microsoft JhengHei" w:hAnsi="Microsoft JhengHei" w:eastAsia="Microsoft JhengHei"/>
          <w:b/>
          <w:color w:val="245A81"/>
          <w:sz w:val="21"/>
        </w:rPr>
        <w:t>二、評量工具檢討紀錄</w:t>
      </w:r>
    </w:p>
    <w:tbl>
      <w:tblPr>
        <w:tblStyle w:val="TableGrid"/>
        <w:tblW w:type="auto" w:w="0"/>
        <w:jc w:val="center"/>
        <w:tblLayout w:type="fixed"/>
        <w:tblLook w:firstColumn="1" w:firstRow="1" w:lastColumn="0" w:lastRow="0" w:noHBand="0" w:noVBand="1" w:val="04A0"/>
      </w:tblPr>
      <w:tblGrid>
        <w:gridCol w:w="2232"/>
        <w:gridCol w:w="2592"/>
        <w:gridCol w:w="1944"/>
        <w:gridCol w:w="2088"/>
        <w:gridCol w:w="1037"/>
      </w:tblGrid>
      <w:tr>
        <w:trPr>
          <w:tblHeader w:val="true"/>
          <w:cantSplit/>
        </w:trPr>
        <w:tc>
          <w:tcPr>
            <w:tcW w:type="dxa" w:w="223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工具／版本／目標</w:t>
            </w:r>
          </w:p>
        </w:tc>
        <w:tc>
          <w:tcPr>
            <w:tcW w:type="dxa" w:w="259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適切性與資料證據</w:t>
            </w:r>
          </w:p>
        </w:tc>
        <w:tc>
          <w:tcPr>
            <w:tcW w:type="dxa" w:w="1944"/>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發現／限制</w:t>
            </w:r>
          </w:p>
        </w:tc>
        <w:tc>
          <w:tcPr>
            <w:tcW w:type="dxa" w:w="2088"/>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維持或修訂決定</w:t>
            </w:r>
          </w:p>
        </w:tc>
        <w:tc>
          <w:tcPr>
            <w:tcW w:type="dxa" w:w="1037"/>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附件</w:t>
            </w:r>
          </w:p>
        </w:tc>
      </w:tr>
      <w:tr>
        <w:trPr>
          <w:cantSplit/>
        </w:trPr>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59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[待分析；連結目標]</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[待審議]</w:t>
            </w:r>
          </w:p>
        </w:tc>
        <w:tc>
          <w:tcPr>
            <w:tcW w:type="dxa" w:w="1037"/>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r>
      <w:tr>
        <w:trPr>
          <w:cantSplit/>
        </w:trPr>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59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[待分析；檢視公平性與可觀察性]</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[待審議]</w:t>
            </w:r>
          </w:p>
        </w:tc>
        <w:tc>
          <w:tcPr>
            <w:tcW w:type="dxa" w:w="1037"/>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r>
      <w:tr>
        <w:trPr>
          <w:cantSplit/>
        </w:trPr>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59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[待分析；檢視分數與結果口徑]</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[待審議]</w:t>
            </w:r>
          </w:p>
        </w:tc>
        <w:tc>
          <w:tcPr>
            <w:tcW w:type="dxa" w:w="1037"/>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r>
    </w:tbl>
    <w:p>
      <w:pPr>
        <w:spacing w:after="10" w:line="132" w:lineRule="auto"/>
      </w:pPr>
    </w:p>
    <w:p>
      <w:pPr>
        <w:pStyle w:val="Heading2"/>
        <w:keepNext/>
        <w:keepLines/>
        <w:spacing w:before="60" w:after="40"/>
      </w:pPr>
      <w:r>
        <w:rPr>
          <w:rFonts w:ascii="Microsoft JhengHei" w:hAnsi="Microsoft JhengHei" w:eastAsia="Microsoft JhengHei"/>
          <w:b/>
          <w:color w:val="245A81"/>
          <w:sz w:val="21"/>
        </w:rPr>
        <w:t>三、學員建議分析與回應</w:t>
      </w:r>
    </w:p>
    <w:tbl>
      <w:tblPr>
        <w:tblStyle w:val="TableGrid"/>
        <w:tblW w:type="auto" w:w="0"/>
        <w:jc w:val="center"/>
        <w:tblLayout w:type="fixed"/>
        <w:tblLook w:firstColumn="1" w:firstRow="1" w:lastColumn="0" w:lastRow="0" w:noHBand="0" w:noVBand="1" w:val="04A0"/>
      </w:tblPr>
      <w:tblGrid>
        <w:gridCol w:w="1656"/>
        <w:gridCol w:w="2376"/>
        <w:gridCol w:w="2088"/>
        <w:gridCol w:w="2088"/>
        <w:gridCol w:w="1685"/>
      </w:tblGrid>
      <w:tr>
        <w:trPr>
          <w:tblHeader w:val="true"/>
          <w:cantSplit/>
        </w:trPr>
        <w:tc>
          <w:tcPr>
            <w:tcW w:type="dxa" w:w="1656"/>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建議編號／來源</w:t>
            </w:r>
          </w:p>
        </w:tc>
        <w:tc>
          <w:tcPr>
            <w:tcW w:type="dxa" w:w="2376"/>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意見摘要（保留原意）</w:t>
            </w:r>
          </w:p>
        </w:tc>
        <w:tc>
          <w:tcPr>
            <w:tcW w:type="dxa" w:w="2088"/>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課程關聯／證據</w:t>
            </w:r>
          </w:p>
        </w:tc>
        <w:tc>
          <w:tcPr>
            <w:tcW w:type="dxa" w:w="2088"/>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採納／不採納理由</w:t>
            </w:r>
          </w:p>
        </w:tc>
        <w:tc>
          <w:tcPr>
            <w:tcW w:type="dxa" w:w="1685"/>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後續決定</w:t>
            </w:r>
          </w:p>
        </w:tc>
      </w:tr>
      <w:tr>
        <w:trPr>
          <w:cantSplit/>
        </w:trPr>
        <w:tc>
          <w:tcPr>
            <w:tcW w:type="dxa" w:w="165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[待取得；去識別化]</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[待分析]</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[待審議；不得預設]</w:t>
            </w:r>
          </w:p>
        </w:tc>
        <w:tc>
          <w:tcPr>
            <w:tcW w:type="dxa" w:w="168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[待追蹤]</w:t>
            </w:r>
          </w:p>
        </w:tc>
      </w:tr>
      <w:tr>
        <w:trPr>
          <w:cantSplit/>
        </w:trPr>
        <w:tc>
          <w:tcPr>
            <w:tcW w:type="dxa" w:w="165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[待取得]</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[待分析]</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[待審議]</w:t>
            </w:r>
          </w:p>
        </w:tc>
        <w:tc>
          <w:tcPr>
            <w:tcW w:type="dxa" w:w="168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[待追蹤]</w:t>
            </w:r>
          </w:p>
        </w:tc>
      </w:tr>
      <w:tr>
        <w:trPr>
          <w:cantSplit/>
        </w:trPr>
        <w:tc>
          <w:tcPr>
            <w:tcW w:type="dxa" w:w="165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[待取得]</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[待分析]</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[待審議]</w:t>
            </w:r>
          </w:p>
        </w:tc>
        <w:tc>
          <w:tcPr>
            <w:tcW w:type="dxa" w:w="168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[待追蹤]</w:t>
            </w:r>
          </w:p>
        </w:tc>
      </w:tr>
    </w:tbl>
    <w:p>
      <w:pPr>
        <w:spacing w:after="10" w:line="132" w:lineRule="auto"/>
      </w:pPr>
    </w:p>
    <w:p>
      <w:pPr>
        <w:pStyle w:val="Heading2"/>
        <w:keepNext/>
        <w:keepLines/>
        <w:spacing w:before="60" w:after="40"/>
      </w:pPr>
      <w:r>
        <w:rPr>
          <w:rFonts w:ascii="Microsoft JhengHei" w:hAnsi="Microsoft JhengHei" w:eastAsia="Microsoft JhengHei"/>
          <w:b/>
          <w:color w:val="245A81"/>
          <w:sz w:val="21"/>
        </w:rPr>
        <w:t>四、檢討結論、版本變更與追蹤</w:t>
      </w:r>
    </w:p>
    <w:tbl>
      <w:tblPr>
        <w:tblStyle w:val="TableGrid"/>
        <w:tblW w:type="auto" w:w="0"/>
        <w:jc w:val="center"/>
        <w:tblLayout w:type="fixed"/>
        <w:tblLook w:firstColumn="1" w:firstRow="1" w:lastColumn="0" w:lastRow="0" w:noHBand="0" w:noVBand="1" w:val="04A0"/>
      </w:tblPr>
      <w:tblGrid>
        <w:gridCol w:w="2304"/>
        <w:gridCol w:w="2232"/>
        <w:gridCol w:w="2952"/>
        <w:gridCol w:w="2405"/>
      </w:tblGrid>
      <w:tr>
        <w:trPr>
          <w:tblHeader w:val="true"/>
          <w:cantSplit/>
        </w:trPr>
        <w:tc>
          <w:tcPr>
            <w:tcW w:type="dxa" w:w="2304"/>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決議／待辦</w:t>
            </w:r>
          </w:p>
        </w:tc>
        <w:tc>
          <w:tcPr>
            <w:tcW w:type="dxa" w:w="223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責任角色／期限</w:t>
            </w:r>
          </w:p>
        </w:tc>
        <w:tc>
          <w:tcPr>
            <w:tcW w:type="dxa" w:w="295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課程／評量版本變更</w:t>
            </w:r>
          </w:p>
        </w:tc>
        <w:tc>
          <w:tcPr>
            <w:tcW w:type="dxa" w:w="2405"/>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核定狀態／證據</w:t>
            </w:r>
          </w:p>
        </w:tc>
      </w:tr>
      <w:tr>
        <w:trPr>
          <w:cantSplit/>
        </w:trPr>
        <w:tc>
          <w:tcPr>
            <w:tcW w:type="dxa" w:w="230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[待指派／待核定]</w:t>
            </w:r>
          </w:p>
        </w:tc>
        <w:tc>
          <w:tcPr>
            <w:tcW w:type="dxa" w:w="295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[修訂前後差異待填]</w:t>
            </w:r>
          </w:p>
        </w:tc>
        <w:tc>
          <w:tcPr>
            <w:tcW w:type="dxa" w:w="240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[待核定]</w:t>
            </w:r>
          </w:p>
        </w:tc>
      </w:tr>
      <w:tr>
        <w:trPr>
          <w:cantSplit/>
        </w:trPr>
        <w:tc>
          <w:tcPr>
            <w:tcW w:type="dxa" w:w="230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[待指派／待核定]</w:t>
            </w:r>
          </w:p>
        </w:tc>
        <w:tc>
          <w:tcPr>
            <w:tcW w:type="dxa" w:w="295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[修訂前後差異待填]</w:t>
            </w:r>
          </w:p>
        </w:tc>
        <w:tc>
          <w:tcPr>
            <w:tcW w:type="dxa" w:w="240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[待核定]</w:t>
            </w:r>
          </w:p>
        </w:tc>
      </w:tr>
    </w:tbl>
    <w:p>
      <w:pPr>
        <w:spacing w:after="10" w:line="132" w:lineRule="auto"/>
      </w:pPr>
    </w:p>
    <w:tbl>
      <w:tblPr>
        <w:tblStyle w:val="TableGrid"/>
        <w:tblW w:type="auto" w:w="0"/>
        <w:jc w:val="center"/>
        <w:tblLayout w:type="fixed"/>
        <w:tblLook w:firstColumn="1" w:firstRow="1" w:lastColumn="0" w:lastRow="0" w:noHBand="0" w:noVBand="1" w:val="04A0"/>
      </w:tblPr>
      <w:tblGrid>
        <w:gridCol w:w="2232"/>
        <w:gridCol w:w="2232"/>
        <w:gridCol w:w="2952"/>
        <w:gridCol w:w="2477"/>
      </w:tblGrid>
      <w:tr>
        <w:trPr>
          <w:tblHeader w:val="true"/>
          <w:cantSplit/>
        </w:trPr>
        <w:tc>
          <w:tcPr>
            <w:tcW w:type="dxa" w:w="223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檢討會議／日期</w:t>
            </w:r>
          </w:p>
        </w:tc>
        <w:tc>
          <w:tcPr>
            <w:tcW w:type="dxa" w:w="223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紀錄／覆核角色</w:t>
            </w:r>
          </w:p>
        </w:tc>
        <w:tc>
          <w:tcPr>
            <w:tcW w:type="dxa" w:w="295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原始資料及附件索引</w:t>
            </w:r>
          </w:p>
        </w:tc>
        <w:tc>
          <w:tcPr>
            <w:tcW w:type="dxa" w:w="2477"/>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9"/>
              </w:rPr>
              <w:t>後續驗證狀態</w:t>
            </w:r>
          </w:p>
        </w:tc>
      </w:tr>
      <w:tr>
        <w:trPr>
          <w:cantSplit/>
        </w:trPr>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[實際檢討後填]</w:t>
            </w:r>
          </w:p>
        </w:tc>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95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[待填]</w:t>
            </w:r>
          </w:p>
        </w:tc>
        <w:tc>
          <w:tcPr>
            <w:tcW w:type="dxa" w:w="2477"/>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9"/>
              </w:rPr>
              <w:t>[待追蹤]</w:t>
            </w:r>
          </w:p>
        </w:tc>
      </w:tr>
    </w:tbl>
    <w:p>
      <w:pPr>
        <w:spacing w:after="10" w:line="132" w:lineRule="auto"/>
      </w:pPr>
    </w:p>
    <w:p>
      <w:pPr>
        <w:keepLines/>
        <w:spacing w:before="0" w:after="20" w:line="250" w:lineRule="auto"/>
      </w:pPr>
      <w:r>
        <w:rPr>
          <w:rFonts w:ascii="Microsoft JhengHei" w:hAnsi="Microsoft JhengHei" w:eastAsia="Microsoft JhengHei"/>
          <w:b w:val="0"/>
          <w:color w:val="62748A"/>
          <w:sz w:val="21"/>
        </w:rPr>
        <w:t>資料與真實性：本稿依官方查核要求設計，尚須本會依實際制度、資料及權責審議補正。未填資料不表示稽核、課程、問卷、回饋、改善、核定或成果已發生。</w:t>
      </w:r>
    </w:p>
    <w:sectPr w:rsidR="00FC693F" w:rsidRPr="0006063C" w:rsidSect="00034616">
      <w:headerReference w:type="default" r:id="rId9"/>
      <w:footerReference w:type="default" r:id="rId10"/>
      <w:pgSz w:w="11909" w:h="16834"/>
      <w:pgMar w:top="835"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2748A"/>
        <w:sz w:val="16"/>
      </w:rPr>
      <w:t xml:space="preserve">待本會填實、審議核定後使用｜第 </w:t>
    </w:r>
    <w:r>
      <w:rPr>
        <w:rFonts w:ascii="Microsoft JhengHei" w:hAnsi="Microsoft JhengHei" w:eastAsia="Microsoft JhengHei"/>
        <w:b w:val="0"/>
        <w:color w:val="62748A"/>
        <w:sz w:val="16"/>
      </w:rPr>
      <w:fldChar w:fldCharType="begin"/>
      <w:instrText xml:space="preserve">PAGE</w:instrText>
      <w:fldChar w:fldCharType="separate"/>
      <w:t>1</w:t>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2748A"/>
        <w:sz w:val="16"/>
      </w:rPr>
      <w:t>社團法人屏東縣原始點關懷協會｜文件工作稿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0" w:lineRule="auto"/>
    </w:pPr>
    <w:rPr>
      <w:rFonts w:ascii="Microsoft JhengHei" w:hAnsi="Microsoft JhengHei" w:eastAsia="Microsoft JhengHei"/>
      <w:color w:val="24364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83B63"/>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45A8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183B6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