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訓練異常處理程序與工具</w:t>
      </w:r>
    </w:p>
    <w:p>
      <w:pPr>
        <w:jc w:val="center"/>
      </w:pPr>
      <w:r>
        <w:rPr>
          <w:b/>
          <w:color w:val="1F4E79"/>
        </w:rPr>
        <w:t>I16-E02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0070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I16-E02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5 頁「訓練異常處理方法、 紀錄與工具。」。其文件類型為：訓練異常處理＋CAPA矯正預防閉環。本件只回應此一證據用途；關聯文件以序號交叉引用，不重複主張其他指標的事實。</w:t>
      </w:r>
    </w:p>
    <w:p>
      <w:pPr>
        <w:pStyle w:val="Heading1"/>
        <w:keepNext/>
      </w:pPr>
      <w:r>
        <w:t>分級原則</w:t>
      </w:r>
    </w:p>
    <w:p>
      <w:pPr>
        <w:spacing w:after="100"/>
      </w:pPr>
      <w:r>
        <w:t>依學員安全、法規、資料正確性、課程連續性與可能外部影響分級。涉及人身風險、個資外洩或錯誤健康資訊時，先停止相關流程並立即通知授權主管；一般紀錄缺漏也須修正來源，不以補寫方式製造歷史紀錄。</w:t>
      </w:r>
    </w:p>
    <w:p>
      <w:pPr>
        <w:pStyle w:val="Heading1"/>
        <w:keepNext/>
      </w:pPr>
      <w:r>
        <w:t>閉環條件</w:t>
      </w:r>
    </w:p>
    <w:p>
      <w:pPr>
        <w:spacing w:after="100"/>
      </w:pPr>
      <w:r>
        <w:t>只有在措施完成、有客觀證據、效果達到事先設定條件且未見同類再發時，才可提出結案。結案核定仍由協會權責人完成。</w:t>
      </w:r>
    </w:p>
    <w:p>
      <w:pPr>
        <w:pStyle w:val="Heading1"/>
        <w:keepNext/>
      </w:pPr>
      <w:r>
        <w:t>異常／CAPA閉環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紀錄要求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結案條件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通報與分級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發現者／承辦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時間、位置、客觀事實、影響對象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分級完成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立即圍堵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承辦＋授權主管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停止、隔離、通知及保護紀錄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風險已控制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根因分析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跨角色小組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時間線、5 Why或因果圖，區分直接及系統原因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根因有證據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矯正措施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責任角色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修正已發生問題及受影響資料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措施完成並留證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預防措施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流程負責人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改變制度、工具或訓練，降低再發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措施能持續運作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效果驗證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非原措施執行者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指標、樣本、驗證期間與再發檢查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達門檻且無同類再發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核准結案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授權主管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覆核附件、殘餘風險與追蹤項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正式核定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分級與升級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風險級別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例示觸發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立即動作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升級時點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高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人身安全、個資或違法風險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停止相關活動並保全資料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立即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中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目標、課程或重要紀錄不一致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暫停使用問題版本並限期核查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當日通報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一般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格式缺漏且無安全影響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開立改善單並追蹤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依核定期限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I16-E02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訓練異常處理方法、 紀錄與工具。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本文件第0070號；原始來源與附件以核實後登錄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關聯要求參照：I04,I12,I15；本文件不替代其專屬紀錄。</w:t>
      </w:r>
    </w:p>
    <w:p>
      <w:pPr>
        <w:pStyle w:val="Heading2"/>
        <w:keepNext/>
      </w:pPr>
      <w:r>
        <w:t>事件識別</w:t>
      </w:r>
    </w:p>
    <w:p>
      <w:r>
        <w:t>本節「事件識別」限定處理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I16-E02官方要求的直接回應與適用情境</w:t>
      </w:r>
    </w:p>
    <w:p>
      <w:r>
        <w:t>本節逐字對應官方查核佐證資料表第 5 頁要求：「訓練異常處理方法、 紀錄與工具。」。本文件僅提供該項要求所需的文件工作稿與追溯欄位。</w:t>
      </w:r>
    </w:p>
    <w:p>
      <w:pPr>
        <w:pStyle w:val="Heading2"/>
        <w:keepNext/>
      </w:pPr>
      <w:r>
        <w:t>影響/風險</w:t>
      </w:r>
    </w:p>
    <w:p>
      <w:r>
        <w:t>主要控制是先核對需求與可用來源，再依「訓練異常處理方法、 紀錄與工具。」的證明目的決定是否適用。來源不足、資料不一致、個資未授權或超出健康教育及傳統整復推拿技術範圍時，暫停引用、記錄差異並交權責人判定。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立即圍堵</w:t>
      </w:r>
    </w:p>
    <w:p>
      <w:r>
        <w:t>本節「立即圍堵」限定處理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事實時間線</w:t>
      </w:r>
    </w:p>
    <w:p>
      <w:r>
        <w:t>本節「事實時間線」限定處理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根因分析</w:t>
      </w:r>
    </w:p>
    <w:p>
      <w:r>
        <w:t>分析段落分開呈現原始觀察、計算結果、可能解釋、資料限制及可採取決策；任何因果語句需有足夠設計與證據支撐。</w:t>
      </w:r>
    </w:p>
    <w:p>
      <w:pPr>
        <w:pStyle w:val="Heading2"/>
        <w:keepNext/>
      </w:pPr>
      <w:r>
        <w:t>矯正措施</w:t>
      </w:r>
    </w:p>
    <w:p>
      <w:r>
        <w:t>本節「矯正措施」限定處理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預防措施</w:t>
      </w:r>
    </w:p>
    <w:p>
      <w:r>
        <w:t>本節「預防措施」限定處理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責任/期限</w:t>
      </w:r>
    </w:p>
    <w:p>
      <w:r>
        <w:t>本節「責任/期限」限定處理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效果驗證</w:t>
      </w:r>
    </w:p>
    <w:p>
      <w:r>
        <w:t>本節「效果驗證」限定處理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結案核准</w:t>
      </w:r>
    </w:p>
    <w:p>
      <w:r>
        <w:t>草案核定前維持待決；正式版應記錄核准權責、版本、生效日、公告管道、舊版回收與保存位置。不得將工作稿抄入正式手冊後略過核定。</w:t>
      </w:r>
    </w:p>
    <w:p>
      <w:pPr>
        <w:pStyle w:val="Heading2"/>
        <w:keepNext/>
      </w:pPr>
      <w:r>
        <w:t>趨勢與再發檢查</w:t>
      </w:r>
    </w:p>
    <w:p>
      <w:r>
        <w:t>本節「趨勢與再發檢查」限定處理 I16-E02「訓練異常處理方法、 紀錄與工具。」所需資料：逐欄註明來源、形成方式、責任角色與待核狀態；未見原始佐證的內容只保留為方案或待辦。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I16-E02真實升格檢核與替換清單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