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異常通報暨CAPA矯正預防紀錄</w:t>
      </w:r>
    </w:p>
    <w:p>
      <w:pPr>
        <w:jc w:val="center"/>
      </w:pPr>
      <w:r>
        <w:rPr>
          <w:b/>
          <w:color w:val="1F4E79"/>
        </w:rPr>
        <w:t>I16-E02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0071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I16-E02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5 頁「訓練異常處理方法、 紀錄與工具。」。其文件類型為：訓練異常處理＋CAPA矯正預防閉環。本件只回應此一證據用途；關聯文件以序號交叉引用，不重複主張其他指標的事實。</w:t>
      </w:r>
    </w:p>
    <w:p>
      <w:pPr>
        <w:pStyle w:val="Heading1"/>
        <w:keepNext/>
      </w:pPr>
      <w:r>
        <w:t>模擬異常</w:t>
      </w:r>
    </w:p>
    <w:p>
      <w:pPr>
        <w:spacing w:after="100"/>
      </w:pPr>
      <w:r>
        <w:t>演練案例：課程資料夾內出現不同版本的操作安全講義。這是虛構情境，不代表協會曾發生事件。示範處置為暫停使用未核版本、保留檔案時間與版本資訊、確認已發放對象，再評估是否需要更正通知。</w:t>
      </w:r>
    </w:p>
    <w:p>
      <w:pPr>
        <w:pStyle w:val="Heading1"/>
        <w:keepNext/>
      </w:pPr>
      <w:r>
        <w:t>原因與措施</w:t>
      </w:r>
    </w:p>
    <w:p>
      <w:pPr>
        <w:spacing w:after="100"/>
      </w:pPr>
      <w:r>
        <w:t>假設根因為文件未標示核定狀態，且發放前缺少版本核對。建議以單一受控存放位置、頁首版本標記、發放前雙人核對及舊版回收降低再發；措施需試行後驗證，未完成前不得結案。</w:t>
      </w:r>
    </w:p>
    <w:p>
      <w:pPr>
        <w:pStyle w:val="Heading1"/>
        <w:keepNext/>
      </w:pPr>
      <w:r>
        <w:t>模擬事件時間線與處置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節點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模擬觀察／動作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證據位置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發現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假設承辦發現兩份安全講義版本不同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模擬情境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非真實事件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圍堵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停止發放未核版本；保留檔名與版本資訊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正式時附檔案紀錄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演練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影響確認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比對已發放對象及授課節點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正式時以發放清冊查驗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待演練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原因分析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假設未受控存放與發放前缺少核對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版本流程及核對表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模擬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矯正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撤下舊版，按真實受影響名單更正通知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通知與回收紀錄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待執行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預防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設定核定標示及發放前雙人覆核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受控文件規則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待核定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效果驗證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抽核後續版次與發放紀錄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需設驗證樣本與期間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未驗證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根因到驗證的行動單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根因假設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措施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期限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效果指標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核定狀態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版本無單一權威來源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指定受控位置及唯讀舊版區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文件管理角色待指派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待決策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抽樣文件無錯版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待核</w:t>
            </w:r>
          </w:p>
        </w:tc>
      </w:tr>
      <w:tr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發放前未核版本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新增發放核對欄及覆核人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課程承辦待指派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待決策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發放清單版本與核定版一致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I16-E02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訓練異常處理方法、 紀錄與工具。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本文件第0071號；原始來源與附件以核實後登錄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關聯要求參照：I04,I12,I15；本文件不替代其專屬紀錄。</w:t>
      </w:r>
    </w:p>
    <w:p>
      <w:pPr>
        <w:pStyle w:val="Heading2"/>
        <w:keepNext/>
      </w:pPr>
      <w:r>
        <w:t>事件識別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I16-E02官方要求的直接回應與適用情境</w:t>
      </w:r>
    </w:p>
    <w:p>
      <w:r>
        <w:t>本節逐字對應官方查核佐證資料表第 5 頁要求：「訓練異常處理方法、 紀錄與工具。」。本文件僅提供該項要求所需的文件工作稿與追溯欄位。</w:t>
      </w:r>
    </w:p>
    <w:p>
      <w:pPr>
        <w:pStyle w:val="Heading2"/>
        <w:keepNext/>
      </w:pPr>
      <w:r>
        <w:t>影響/風險</w:t>
      </w:r>
    </w:p>
    <w:p>
      <w:r>
        <w:t>主要控制是先核對需求與可用來源，再依「訓練異常處理方法、 紀錄與工具。」的證明目的決定是否適用。來源不足、資料不一致、個資未授權或超出健康教育及傳統整復推拿技術範圍時，暫停引用、記錄差異並交權責人判定。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立即圍堵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事實時間線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根因分析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矯正措施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預防措施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責任/期限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效果驗證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結案核准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趨勢與再發檢查</w:t>
      </w:r>
    </w:p>
    <w:p>
      <w:r>
        <w:t>異常處理遵循「保護學員與資料—保存客觀證據—釐清影響—分析原因—採取矯正與預防—責任期限追蹤—效果驗證—核准結案」。修正文件本身不能替代執行證據。</w:t>
      </w:r>
    </w:p>
    <w:p>
      <w:pPr>
        <w:pStyle w:val="Heading2"/>
        <w:keepNext/>
      </w:pPr>
      <w:r>
        <w:t>I16-E02真實升格檢核與替換清單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