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keepNext/>
      </w:pPr>
      <w:r>
        <w:rPr>
          <w:rFonts w:ascii="Microsoft JhengHei" w:hAnsi="Microsoft JhengHei" w:eastAsia="Microsoft JhengHei" w:cs="Microsoft JhengHei"/>
          <w:b/>
          <w:i w:val="0"/>
          <w:color w:val="000000"/>
          <w:sz w:val="44"/>
        </w:rPr>
        <w:t>中長程業務發展策略地圖</w:t>
      </w:r>
    </w:p>
    <w:p>
      <w:pPr>
        <w:pStyle w:val="Subtitle"/>
        <w:keepNext/>
      </w:pPr>
      <w:r>
        <w:rPr>
          <w:rFonts w:ascii="Microsoft JhengHei" w:hAnsi="Microsoft JhengHei" w:eastAsia="Microsoft JhengHei" w:cs="Microsoft JhengHei"/>
          <w:b w:val="0"/>
          <w:i w:val="0"/>
          <w:color w:val="000000"/>
          <w:sz w:val="20"/>
        </w:rPr>
        <w:t>社團法人屏東縣原始點關懷協會｜策略框架與三年發展提案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2" w:space="0" w:color="FCEEEE"/>
          <w:left w:val="single" w:sz="2" w:space="0" w:color="FCEEEE"/>
          <w:bottom w:val="single" w:sz="2" w:space="0" w:color="FCEEEE"/>
          <w:right w:val="single" w:sz="2" w:space="0" w:color="FCEEEE"/>
          <w:insideH w:val="single" w:sz="2" w:space="0" w:color="FCEEEE"/>
          <w:insideV w:val="single" w:sz="2" w:space="0" w:color="FCEEEE"/>
        </w:tblBorders>
      </w:tblPr>
      <w:tblGrid>
        <w:gridCol w:w="10195"/>
      </w:tblGrid>
      <w:tr>
        <w:tc>
          <w:tcPr>
            <w:tcW w:type="dxa" w:w="10195"/>
            <w:shd w:fill="FCEEEE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color w:val="9B2C2C"/>
                <w:sz w:val="20"/>
              </w:rPr>
              <w:t>人類決策草案／未核定，不代表協會已採用</w:t>
            </w:r>
            <w:r>
              <w:br/>
            </w:r>
            <w:r>
              <w:rPr>
                <w:rFonts w:ascii="Microsoft JhengHei" w:hAnsi="Microsoft JhengHei" w:eastAsia="Microsoft JhengHei" w:cs="Microsoft JhengHei"/>
                <w:b/>
                <w:i w:val="0"/>
                <w:color w:val="9B2C2C"/>
                <w:sz w:val="20"/>
              </w:rPr>
              <w:t>本文件提出可供決議的策略與衡量方法。未填入實際日期、人名、課程、財務、核准、簽章、成果或數字目標。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CFD9DF"/>
          <w:left w:val="single" w:sz="5" w:space="0" w:color="CFD9DF"/>
          <w:bottom w:val="single" w:sz="5" w:space="0" w:color="CFD9DF"/>
          <w:right w:val="single" w:sz="5" w:space="0" w:color="CFD9DF"/>
          <w:insideH w:val="single" w:sz="5" w:space="0" w:color="CFD9DF"/>
          <w:insideV w:val="single" w:sz="5" w:space="0" w:color="CFD9DF"/>
        </w:tblBorders>
      </w:tblPr>
      <w:tblGrid>
        <w:gridCol w:w="1440"/>
        <w:gridCol w:w="3528"/>
        <w:gridCol w:w="1469"/>
        <w:gridCol w:w="3758"/>
      </w:tblGrid>
      <w:tr>
        <w:trPr>
          <w:tblHeader w:val="true"/>
          <w:cantSplit/>
        </w:trPr>
        <w:tc>
          <w:tcPr>
            <w:tcW w:type="dxa" w:w="1440"/>
            <w:shd w:fill="1F6B70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before="0" w:after="0" w:line="245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color w:val="FFFFFF"/>
                <w:sz w:val="16"/>
              </w:rPr>
              <w:t>文件識別</w:t>
            </w:r>
          </w:p>
        </w:tc>
        <w:tc>
          <w:tcPr>
            <w:tcW w:type="dxa" w:w="3528"/>
            <w:shd w:fill="1F6B70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before="0" w:after="0" w:line="245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color w:val="FFFFFF"/>
                <w:sz w:val="16"/>
              </w:rPr>
              <w:t>內容</w:t>
            </w:r>
          </w:p>
        </w:tc>
        <w:tc>
          <w:tcPr>
            <w:tcW w:type="dxa" w:w="1469"/>
            <w:shd w:fill="1F6B70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before="0" w:after="0" w:line="245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color w:val="FFFFFF"/>
                <w:sz w:val="16"/>
              </w:rPr>
              <w:t>文件識別</w:t>
            </w:r>
          </w:p>
        </w:tc>
        <w:tc>
          <w:tcPr>
            <w:tcW w:type="dxa" w:w="3758"/>
            <w:shd w:fill="1F6B70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before="0" w:after="0" w:line="245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color w:val="FFFFFF"/>
                <w:sz w:val="16"/>
              </w:rPr>
              <w:t>內容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02A30"/>
                <w:sz w:val="16"/>
              </w:rPr>
              <w:t>文件序號</w:t>
            </w:r>
          </w:p>
        </w:tc>
        <w:tc>
          <w:tcPr>
            <w:tcW w:type="dxa" w:w="352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02A30"/>
                <w:sz w:val="16"/>
              </w:rPr>
              <w:t>0001</w:t>
            </w:r>
          </w:p>
        </w:tc>
        <w:tc>
          <w:tcPr>
            <w:tcW w:type="dxa" w:w="146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02A30"/>
                <w:sz w:val="16"/>
              </w:rPr>
              <w:t>對應要求</w:t>
            </w:r>
          </w:p>
        </w:tc>
        <w:tc>
          <w:tcPr>
            <w:tcW w:type="dxa" w:w="375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02A30"/>
                <w:sz w:val="16"/>
              </w:rPr>
              <w:t>I01-E01／指標1</w:t>
            </w:r>
          </w:p>
        </w:tc>
      </w:tr>
      <w:tr>
        <w:trPr>
          <w:cantSplit/>
        </w:trPr>
        <w:tc>
          <w:tcPr>
            <w:tcW w:type="dxa" w:w="1440"/>
            <w:shd w:fill="F7F9FA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02A30"/>
                <w:sz w:val="16"/>
              </w:rPr>
              <w:t>生產模式</w:t>
            </w:r>
          </w:p>
        </w:tc>
        <w:tc>
          <w:tcPr>
            <w:tcW w:type="dxa" w:w="3528"/>
            <w:shd w:fill="F7F9FA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02A30"/>
                <w:sz w:val="16"/>
              </w:rPr>
              <w:t>HUMAN_DECISION_DRAFT</w:t>
            </w:r>
          </w:p>
        </w:tc>
        <w:tc>
          <w:tcPr>
            <w:tcW w:type="dxa" w:w="1469"/>
            <w:shd w:fill="F7F9FA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02A30"/>
                <w:sz w:val="16"/>
              </w:rPr>
              <w:t>政策／品質期</w:t>
            </w:r>
          </w:p>
        </w:tc>
        <w:tc>
          <w:tcPr>
            <w:tcW w:type="dxa" w:w="3758"/>
            <w:shd w:fill="F7F9FA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02A30"/>
                <w:sz w:val="16"/>
              </w:rPr>
              <w:t>QP003／QE003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02A30"/>
                <w:sz w:val="16"/>
              </w:rPr>
              <w:t>修訂識別</w:t>
            </w:r>
          </w:p>
        </w:tc>
        <w:tc>
          <w:tcPr>
            <w:tcW w:type="dxa" w:w="352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02A30"/>
                <w:sz w:val="16"/>
              </w:rPr>
              <w:t>0001-I01-E01-QP003-QE003-B001</w:t>
            </w:r>
          </w:p>
        </w:tc>
        <w:tc>
          <w:tcPr>
            <w:tcW w:type="dxa" w:w="146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02A30"/>
                <w:sz w:val="16"/>
              </w:rPr>
              <w:t>藍圖簽章</w:t>
            </w:r>
          </w:p>
        </w:tc>
        <w:tc>
          <w:tcPr>
            <w:tcW w:type="dxa" w:w="375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02A30"/>
                <w:sz w:val="16"/>
              </w:rPr>
              <w:t>33f2b4d97ebb450d1e788ce73a9466e3deddb7f1a91681aff0ea7ec8f32ca45c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rPr>
          <w:rFonts w:ascii="Microsoft JhengHei" w:hAnsi="Microsoft JhengHei" w:eastAsia="Microsoft JhengHei" w:cs="Microsoft JhengHei"/>
          <w:b/>
          <w:i w:val="0"/>
          <w:color w:val="000000"/>
          <w:sz w:val="26"/>
        </w:rPr>
        <w:t>一、I01-E01直接回應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2" w:space="0" w:color="FFF6E3"/>
          <w:left w:val="single" w:sz="2" w:space="0" w:color="FFF6E3"/>
          <w:bottom w:val="single" w:sz="2" w:space="0" w:color="FFF6E3"/>
          <w:right w:val="single" w:sz="2" w:space="0" w:color="FFF6E3"/>
          <w:insideH w:val="single" w:sz="2" w:space="0" w:color="FFF6E3"/>
          <w:insideV w:val="single" w:sz="2" w:space="0" w:color="FFF6E3"/>
        </w:tblBorders>
      </w:tblPr>
      <w:tblGrid>
        <w:gridCol w:w="10195"/>
      </w:tblGrid>
      <w:tr>
        <w:tc>
          <w:tcPr>
            <w:tcW w:type="dxa" w:w="10195"/>
            <w:shd w:fill="FFF6E3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03A4A"/>
                <w:sz w:val="18"/>
              </w:rPr>
              <w:t>官方要求（逐字依有效清冊）</w:t>
            </w:r>
            <w:r>
              <w:br/>
            </w:r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03A4A"/>
                <w:sz w:val="18"/>
              </w:rPr>
              <w:t>中長程的業務發展規劃策略地圖。 （p.13；OOO手冊中第O頁； 官網首頁）</w:t>
            </w:r>
          </w:p>
        </w:tc>
      </w:tr>
    </w:tbl>
    <w:p>
      <w:pPr>
        <w:spacing w:after="20"/>
      </w:pPr>
    </w:p>
    <w:p>
      <w:pPr>
        <w:spacing w:after="80" w:line="252" w:lineRule="auto"/>
      </w:pPr>
      <w:r>
        <w:rPr>
          <w:rFonts w:ascii="Microsoft JhengHei" w:hAnsi="Microsoft JhengHei" w:eastAsia="Microsoft JhengHei" w:cs="Microsoft JhengHei"/>
          <w:b w:val="0"/>
          <w:i w:val="0"/>
          <w:color w:val="202A30"/>
          <w:sz w:val="18"/>
        </w:rPr>
        <w:t>本稿以「使命—市場價值—課程能力—營運／公益成果」策略圖，連結目標客群、課程產品、策略指標、責任角色、三年時程、檢討與證據定位，直接呈現中長程的業務發展規劃策略地圖。括號中的手冊頁／官網位置是官方資料表列出的參考佐證格式；本文不宣稱該頁、網站或任何協會既有資料已存在。</w:t>
      </w:r>
    </w:p>
    <w:p>
      <w:pPr>
        <w:pStyle w:val="Heading1"/>
        <w:keepNext/>
      </w:pPr>
      <w:r>
        <w:rPr>
          <w:rFonts w:ascii="Microsoft JhengHei" w:hAnsi="Microsoft JhengHei" w:eastAsia="Microsoft JhengHei" w:cs="Microsoft JhengHei"/>
          <w:b/>
          <w:i w:val="0"/>
          <w:color w:val="000000"/>
          <w:sz w:val="26"/>
        </w:rPr>
        <w:t>二、使命到成果的策略地圖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0" w:space="0" w:color="FFFFFF"/>
          <w:left w:val="single" w:sz="0" w:space="0" w:color="FFFFFF"/>
          <w:bottom w:val="single" w:sz="0" w:space="0" w:color="FFFFFF"/>
          <w:right w:val="single" w:sz="0" w:space="0" w:color="FFFFFF"/>
          <w:insideH w:val="single" w:sz="0" w:space="0" w:color="FFFFFF"/>
          <w:insideV w:val="single" w:sz="0" w:space="0" w:color="FFFFFF"/>
        </w:tblBorders>
      </w:tblPr>
      <w:tblGrid>
        <w:gridCol w:w="2333"/>
        <w:gridCol w:w="288"/>
        <w:gridCol w:w="2333"/>
        <w:gridCol w:w="288"/>
        <w:gridCol w:w="2333"/>
        <w:gridCol w:w="288"/>
        <w:gridCol w:w="2333"/>
      </w:tblGrid>
      <w:tr>
        <w:tc>
          <w:tcPr>
            <w:tcW w:type="dxa" w:w="2333"/>
            <w:shd w:fill="EAF2F2"/>
            <w:tcMar>
              <w:top w:w="125" w:type="dxa"/>
              <w:start w:w="100" w:type="dxa"/>
              <w:bottom w:w="125" w:type="dxa"/>
              <w:end w:w="100" w:type="dxa"/>
            </w:tcMar>
          </w:tcPr>
          <w:p>
            <w:pPr>
              <w:spacing w:after="60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color w:val="1F6B70"/>
                <w:sz w:val="18"/>
              </w:rPr>
              <w:t>使命</w:t>
            </w:r>
          </w:p>
          <w:p>
            <w:pPr>
              <w:spacing w:after="0" w:line="245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02A30"/>
                <w:sz w:val="16"/>
              </w:rPr>
              <w:t>健康教育與</w:t>
              <w:br/>
              <w:t>傳統整復推拿</w:t>
              <w:br/>
              <w:t>技術為核心</w:t>
            </w:r>
          </w:p>
        </w:tc>
        <w:tc>
          <w:tcPr>
            <w:tcW w:type="dxa" w:w="1474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before="0" w:after="0" w:line="245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color w:val="1F6B70"/>
                <w:sz w:val="24"/>
              </w:rPr>
              <w:t>→</w:t>
            </w:r>
          </w:p>
        </w:tc>
        <w:tc>
          <w:tcPr>
            <w:tcW w:type="dxa" w:w="2333"/>
            <w:shd w:fill="EEF3F7"/>
            <w:tcMar>
              <w:top w:w="125" w:type="dxa"/>
              <w:start w:w="100" w:type="dxa"/>
              <w:bottom w:w="125" w:type="dxa"/>
              <w:end w:w="100" w:type="dxa"/>
            </w:tcMar>
          </w:tcPr>
          <w:p>
            <w:pPr>
              <w:spacing w:after="60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color w:val="1F6B70"/>
                <w:sz w:val="18"/>
              </w:rPr>
              <w:t>市場價值</w:t>
            </w:r>
          </w:p>
          <w:p>
            <w:pPr>
              <w:spacing w:after="0" w:line="245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02A30"/>
                <w:sz w:val="16"/>
              </w:rPr>
              <w:t>回應經驗證的</w:t>
              <w:br/>
              <w:t>學習需求，並</w:t>
              <w:br/>
              <w:t>守住法規與品質</w:t>
            </w:r>
          </w:p>
        </w:tc>
        <w:tc>
          <w:tcPr>
            <w:tcW w:type="dxa" w:w="1474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before="0" w:after="0" w:line="245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color w:val="1F6B70"/>
                <w:sz w:val="24"/>
              </w:rPr>
              <w:t>→</w:t>
            </w:r>
          </w:p>
        </w:tc>
        <w:tc>
          <w:tcPr>
            <w:tcW w:type="dxa" w:w="2333"/>
            <w:shd w:fill="EAF2F2"/>
            <w:tcMar>
              <w:top w:w="125" w:type="dxa"/>
              <w:start w:w="100" w:type="dxa"/>
              <w:bottom w:w="125" w:type="dxa"/>
              <w:end w:w="100" w:type="dxa"/>
            </w:tcMar>
          </w:tcPr>
          <w:p>
            <w:pPr>
              <w:spacing w:after="60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color w:val="1F6B70"/>
                <w:sz w:val="18"/>
              </w:rPr>
              <w:t>課程能力</w:t>
            </w:r>
          </w:p>
          <w:p>
            <w:pPr>
              <w:spacing w:after="0" w:line="245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02A30"/>
                <w:sz w:val="16"/>
              </w:rPr>
              <w:t>依條件組合課程；</w:t>
              <w:br/>
              <w:t>設計、師資、教材</w:t>
              <w:br/>
              <w:t>及品質檢核待建</w:t>
            </w:r>
          </w:p>
        </w:tc>
        <w:tc>
          <w:tcPr>
            <w:tcW w:type="dxa" w:w="1474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before="0" w:after="0" w:line="245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color w:val="1F6B70"/>
                <w:sz w:val="24"/>
              </w:rPr>
              <w:t>→</w:t>
            </w:r>
          </w:p>
        </w:tc>
        <w:tc>
          <w:tcPr>
            <w:tcW w:type="dxa" w:w="2333"/>
            <w:shd w:fill="EEF3F7"/>
            <w:tcMar>
              <w:top w:w="125" w:type="dxa"/>
              <w:start w:w="100" w:type="dxa"/>
              <w:bottom w:w="125" w:type="dxa"/>
              <w:end w:w="100" w:type="dxa"/>
            </w:tcMar>
          </w:tcPr>
          <w:p>
            <w:pPr>
              <w:spacing w:after="60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color w:val="1F6B70"/>
                <w:sz w:val="18"/>
              </w:rPr>
              <w:t>營運／公益成果</w:t>
            </w:r>
          </w:p>
          <w:p>
            <w:pPr>
              <w:spacing w:after="0" w:line="245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02A30"/>
                <w:sz w:val="16"/>
              </w:rPr>
              <w:t>形成可檢視的</w:t>
              <w:br/>
              <w:t>營運能力與</w:t>
              <w:br/>
              <w:t>健康教育價值</w:t>
            </w:r>
          </w:p>
        </w:tc>
      </w:tr>
    </w:tbl>
    <w:p/>
    <w:p>
      <w:pPr>
        <w:spacing w:after="80" w:line="252" w:lineRule="auto"/>
      </w:pPr>
      <w:r>
        <w:rPr>
          <w:rFonts w:ascii="Microsoft JhengHei" w:hAnsi="Microsoft JhengHei" w:eastAsia="Microsoft JhengHei" w:cs="Microsoft JhengHei"/>
          <w:b w:val="0"/>
          <w:i w:val="0"/>
          <w:color w:val="52626E"/>
          <w:sz w:val="16"/>
        </w:rPr>
        <w:t>圖1　使命 → 市場價值 → 課程能力 → 營運／公益成果。此為待協會決議的方向圖；成果是規劃目標，不是既有成效。</w:t>
      </w:r>
    </w:p>
    <w:p>
      <w:pPr>
        <w:spacing w:after="80" w:line="252" w:lineRule="auto"/>
      </w:pPr>
      <w:r>
        <w:rPr>
          <w:rFonts w:ascii="Microsoft JhengHei" w:hAnsi="Microsoft JhengHei" w:eastAsia="Microsoft JhengHei" w:cs="Microsoft JhengHei"/>
          <w:b w:val="0"/>
          <w:i w:val="0"/>
          <w:color w:val="52626E"/>
          <w:sz w:val="17"/>
        </w:rPr>
        <w:t>使命與能力定位採用已提供的協會資料。市場價值、課程組合與結果均為策略提案；是否採用須由協會依市場證據、資源、法規及品質條件決議。</w:t>
      </w:r>
    </w:p>
    <w:p>
      <w:pPr>
        <w:pStyle w:val="Heading1"/>
        <w:keepNext/>
      </w:pPr>
      <w:r>
        <w:rPr>
          <w:rFonts w:ascii="Microsoft JhengHei" w:hAnsi="Microsoft JhengHei" w:eastAsia="Microsoft JhengHei" w:cs="Microsoft JhengHei"/>
          <w:b/>
          <w:i w:val="0"/>
          <w:color w:val="000000"/>
          <w:sz w:val="26"/>
        </w:rPr>
        <w:t>三、現況與外部環境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CFD9DF"/>
          <w:left w:val="single" w:sz="5" w:space="0" w:color="CFD9DF"/>
          <w:bottom w:val="single" w:sz="5" w:space="0" w:color="CFD9DF"/>
          <w:right w:val="single" w:sz="5" w:space="0" w:color="CFD9DF"/>
          <w:insideH w:val="single" w:sz="5" w:space="0" w:color="CFD9DF"/>
          <w:insideV w:val="single" w:sz="5" w:space="0" w:color="CFD9DF"/>
        </w:tblBorders>
      </w:tblPr>
      <w:tblGrid>
        <w:gridCol w:w="1325"/>
        <w:gridCol w:w="4248"/>
        <w:gridCol w:w="4594"/>
      </w:tblGrid>
      <w:tr>
        <w:trPr>
          <w:tblHeader w:val="true"/>
          <w:cantSplit/>
        </w:trPr>
        <w:tc>
          <w:tcPr>
            <w:tcW w:type="dxa" w:w="1325"/>
            <w:shd w:fill="203A4A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before="0" w:after="0" w:line="245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color w:val="FFFFFF"/>
                <w:sz w:val="15"/>
              </w:rPr>
              <w:t>面向</w:t>
            </w:r>
          </w:p>
        </w:tc>
        <w:tc>
          <w:tcPr>
            <w:tcW w:type="dxa" w:w="4248"/>
            <w:shd w:fill="203A4A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before="0" w:after="0" w:line="245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color w:val="FFFFFF"/>
                <w:sz w:val="15"/>
              </w:rPr>
              <w:t>本稿可確認的基礎</w:t>
            </w:r>
          </w:p>
        </w:tc>
        <w:tc>
          <w:tcPr>
            <w:tcW w:type="dxa" w:w="4594"/>
            <w:shd w:fill="203A4A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before="0" w:after="0" w:line="245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color w:val="FFFFFF"/>
                <w:sz w:val="15"/>
              </w:rPr>
              <w:t>待調查／待決議的內容</w:t>
            </w:r>
          </w:p>
        </w:tc>
      </w:tr>
      <w:tr>
        <w:trPr>
          <w:cantSplit/>
        </w:trPr>
        <w:tc>
          <w:tcPr>
            <w:tcW w:type="dxa" w:w="132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02A30"/>
                <w:sz w:val="15"/>
              </w:rPr>
              <w:t>協會定位</w:t>
            </w:r>
          </w:p>
        </w:tc>
        <w:tc>
          <w:tcPr>
            <w:tcW w:type="dxa" w:w="424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02A30"/>
                <w:sz w:val="15"/>
              </w:rPr>
              <w:t>社團法人屏東縣原始點關懷協會；健康教育及傳統整復推拿技術為核心；可依市場需求、資源、法規及品質條件發展多元課程。</w:t>
            </w:r>
          </w:p>
        </w:tc>
        <w:tc>
          <w:tcPr>
            <w:tcW w:type="dxa" w:w="4594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02A30"/>
                <w:sz w:val="15"/>
              </w:rPr>
              <w:t>確認策略期間、組織優先順序及內部決策窗口。</w:t>
            </w:r>
          </w:p>
        </w:tc>
      </w:tr>
      <w:tr>
        <w:trPr>
          <w:cantSplit/>
        </w:trPr>
        <w:tc>
          <w:tcPr>
            <w:tcW w:type="dxa" w:w="1325"/>
            <w:shd w:fill="F7F9FA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02A30"/>
                <w:sz w:val="15"/>
              </w:rPr>
              <w:t>市場需求</w:t>
            </w:r>
          </w:p>
        </w:tc>
        <w:tc>
          <w:tcPr>
            <w:tcW w:type="dxa" w:w="4248"/>
            <w:shd w:fill="F7F9FA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02A30"/>
                <w:sz w:val="15"/>
              </w:rPr>
              <w:t>本稿沒有可核驗的市場調查、客群量體或需求結果。</w:t>
            </w:r>
          </w:p>
        </w:tc>
        <w:tc>
          <w:tcPr>
            <w:tcW w:type="dxa" w:w="4594"/>
            <w:shd w:fill="F7F9FA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02A30"/>
                <w:sz w:val="15"/>
              </w:rPr>
              <w:t>待選客群、需求主題、服務可近性及可接受的課程形式；留存調查設計、原始紀錄與分析。</w:t>
            </w:r>
          </w:p>
        </w:tc>
      </w:tr>
      <w:tr>
        <w:trPr>
          <w:cantSplit/>
        </w:trPr>
        <w:tc>
          <w:tcPr>
            <w:tcW w:type="dxa" w:w="132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02A30"/>
                <w:sz w:val="15"/>
              </w:rPr>
              <w:t>課程產品</w:t>
            </w:r>
          </w:p>
        </w:tc>
        <w:tc>
          <w:tcPr>
            <w:tcW w:type="dxa" w:w="424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02A30"/>
                <w:sz w:val="15"/>
              </w:rPr>
              <w:t>未提供既有課名、班次、教材或辦訓紀錄；本稿不列為既有課程。</w:t>
            </w:r>
          </w:p>
        </w:tc>
        <w:tc>
          <w:tcPr>
            <w:tcW w:type="dxa" w:w="4594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02A30"/>
                <w:sz w:val="15"/>
              </w:rPr>
              <w:t>待決議課程主題、學習目標、對象、教學方法與風險審查；不得先以課名或成果對外表述。</w:t>
            </w:r>
          </w:p>
        </w:tc>
      </w:tr>
      <w:tr>
        <w:trPr>
          <w:cantSplit/>
        </w:trPr>
        <w:tc>
          <w:tcPr>
            <w:tcW w:type="dxa" w:w="1325"/>
            <w:shd w:fill="F7F9FA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02A30"/>
                <w:sz w:val="15"/>
              </w:rPr>
              <w:t>資源與營運</w:t>
            </w:r>
          </w:p>
        </w:tc>
        <w:tc>
          <w:tcPr>
            <w:tcW w:type="dxa" w:w="4248"/>
            <w:shd w:fill="F7F9FA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02A30"/>
                <w:sz w:val="15"/>
              </w:rPr>
              <w:t>未提供師資、人力、場地、預算、營運數據或合作關係。</w:t>
            </w:r>
          </w:p>
        </w:tc>
        <w:tc>
          <w:tcPr>
            <w:tcW w:type="dxa" w:w="4594"/>
            <w:shd w:fill="F7F9FA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02A30"/>
                <w:sz w:val="15"/>
              </w:rPr>
              <w:t>逐項核實可用資源、成本與責任分工；未核實前不提出財務預測或可持續性結論。</w:t>
            </w:r>
          </w:p>
        </w:tc>
      </w:tr>
      <w:tr>
        <w:trPr>
          <w:cantSplit/>
        </w:trPr>
        <w:tc>
          <w:tcPr>
            <w:tcW w:type="dxa" w:w="132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02A30"/>
                <w:sz w:val="15"/>
              </w:rPr>
              <w:t>法規與品質</w:t>
            </w:r>
          </w:p>
        </w:tc>
        <w:tc>
          <w:tcPr>
            <w:tcW w:type="dxa" w:w="424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02A30"/>
                <w:sz w:val="15"/>
              </w:rPr>
              <w:t>未作特定法規解釋或療效主張。</w:t>
            </w:r>
          </w:p>
        </w:tc>
        <w:tc>
          <w:tcPr>
            <w:tcW w:type="dxa" w:w="4594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02A30"/>
                <w:sz w:val="15"/>
              </w:rPr>
              <w:t>每項擬議課程先確認適用法規、服務界線、宣傳文字及品質檢核條件。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rPr>
          <w:rFonts w:ascii="Microsoft JhengHei" w:hAnsi="Microsoft JhengHei" w:eastAsia="Microsoft JhengHei" w:cs="Microsoft JhengHei"/>
          <w:b/>
          <w:i w:val="0"/>
          <w:color w:val="000000"/>
          <w:sz w:val="26"/>
        </w:rPr>
        <w:t>四、定位與目標市場選擇</w:t>
      </w:r>
    </w:p>
    <w:p>
      <w:pPr>
        <w:spacing w:after="80" w:line="252" w:lineRule="auto"/>
      </w:pPr>
      <w:r>
        <w:rPr>
          <w:rFonts w:ascii="Microsoft JhengHei" w:hAnsi="Microsoft JhengHei" w:eastAsia="Microsoft JhengHei" w:cs="Microsoft JhengHei"/>
          <w:b w:val="0"/>
          <w:i w:val="0"/>
          <w:color w:val="202A30"/>
          <w:sz w:val="18"/>
        </w:rPr>
        <w:t>定位提案：以健康教育與傳統整復推拿技術為核心，依經核實的學習需求設計多元課程；只有在資源、法規及品質條件可確認時，才納入發展組合。此定位尚未核定。</w:t>
      </w:r>
    </w:p>
    <w:p>
      <w:pPr>
        <w:spacing w:after="80" w:line="252" w:lineRule="auto"/>
      </w:pPr>
      <w:r>
        <w:rPr>
          <w:rFonts w:ascii="Microsoft JhengHei" w:hAnsi="Microsoft JhengHei" w:eastAsia="Microsoft JhengHei" w:cs="Microsoft JhengHei"/>
          <w:b/>
          <w:i w:val="0"/>
          <w:color w:val="202A30"/>
          <w:sz w:val="17"/>
        </w:rPr>
        <w:t>候選客群類型（僅供調查與決策，不代表既有學員、合作單位或已證實需求）：</w:t>
      </w:r>
      <w:r>
        <w:rPr>
          <w:rFonts w:ascii="Microsoft JhengHei" w:hAnsi="Microsoft JhengHei" w:eastAsia="Microsoft JhengHei" w:cs="Microsoft JhengHei"/>
          <w:b w:val="0"/>
          <w:i w:val="0"/>
          <w:color w:val="202A30"/>
          <w:sz w:val="17"/>
        </w:rPr>
      </w:r>
    </w:p>
    <w:p>
      <w:pPr>
        <w:pStyle w:val="ListBullet"/>
        <w:spacing w:after="40" w:line="245" w:lineRule="auto"/>
        <w:ind w:left="274" w:hanging="173"/>
      </w:pPr>
      <w:r>
        <w:rPr>
          <w:rFonts w:ascii="Microsoft JhengHei" w:hAnsi="Microsoft JhengHei" w:eastAsia="Microsoft JhengHei" w:cs="Microsoft JhengHei"/>
          <w:b w:val="0"/>
          <w:i w:val="0"/>
          <w:color w:val="202A30"/>
          <w:sz w:val="17"/>
        </w:rPr>
        <w:t>有健康教育學習需求的個人或團體。</w:t>
      </w:r>
    </w:p>
    <w:p>
      <w:pPr>
        <w:pStyle w:val="ListBullet"/>
        <w:spacing w:after="40" w:line="245" w:lineRule="auto"/>
        <w:ind w:left="274" w:hanging="173"/>
      </w:pPr>
      <w:r>
        <w:rPr>
          <w:rFonts w:ascii="Microsoft JhengHei" w:hAnsi="Microsoft JhengHei" w:eastAsia="Microsoft JhengHei" w:cs="Microsoft JhengHei"/>
          <w:b w:val="0"/>
          <w:i w:val="0"/>
          <w:color w:val="202A30"/>
          <w:sz w:val="17"/>
        </w:rPr>
        <w:t>希望了解傳統手法相關知識的學習者；實際課程內容與宣傳界線須先審查。</w:t>
      </w:r>
    </w:p>
    <w:p>
      <w:pPr>
        <w:pStyle w:val="ListBullet"/>
        <w:spacing w:after="40" w:line="245" w:lineRule="auto"/>
        <w:ind w:left="274" w:hanging="173"/>
      </w:pPr>
      <w:r>
        <w:rPr>
          <w:rFonts w:ascii="Microsoft JhengHei" w:hAnsi="Microsoft JhengHei" w:eastAsia="Microsoft JhengHei" w:cs="Microsoft JhengHei"/>
          <w:b w:val="0"/>
          <w:i w:val="0"/>
          <w:color w:val="202A30"/>
          <w:sz w:val="17"/>
        </w:rPr>
        <w:t>經需求證據確認、且符合協會資源及品質條件的社區或組織學習需求；此列不表示已有合作。</w:t>
      </w:r>
    </w:p>
    <w:p>
      <w:pPr>
        <w:spacing w:after="80" w:line="252" w:lineRule="auto"/>
      </w:pPr>
      <w:r>
        <w:rPr>
          <w:rFonts w:ascii="Microsoft JhengHei" w:hAnsi="Microsoft JhengHei" w:eastAsia="Microsoft JhengHei" w:cs="Microsoft JhengHei"/>
          <w:b w:val="0"/>
          <w:i w:val="0"/>
          <w:color w:val="202A30"/>
          <w:sz w:val="17"/>
        </w:rPr>
        <w:t>客群決策準則：以可追溯的需求證據、與協會核心定位的關聯、可提供的學習價值、課程適法性、品質可控性及資源可行性逐項檢視。未取得證據的項目標「待查」，不以推測填補。</w:t>
      </w:r>
    </w:p>
    <w:p>
      <w:pPr>
        <w:pStyle w:val="Heading1"/>
        <w:keepNext/>
      </w:pPr>
      <w:r>
        <w:rPr>
          <w:rFonts w:ascii="Microsoft JhengHei" w:hAnsi="Microsoft JhengHei" w:eastAsia="Microsoft JhengHei" w:cs="Microsoft JhengHei"/>
          <w:b/>
          <w:i w:val="0"/>
          <w:color w:val="000000"/>
          <w:sz w:val="26"/>
        </w:rPr>
        <w:t>五、三年業務發展框架</w:t>
      </w:r>
    </w:p>
    <w:p>
      <w:pPr>
        <w:spacing w:after="80" w:line="252" w:lineRule="auto"/>
      </w:pPr>
      <w:r>
        <w:rPr>
          <w:rFonts w:ascii="Microsoft JhengHei" w:hAnsi="Microsoft JhengHei" w:eastAsia="Microsoft JhengHei" w:cs="Microsoft JhengHei"/>
          <w:b w:val="0"/>
          <w:i w:val="0"/>
          <w:color w:val="52626E"/>
          <w:sz w:val="17"/>
        </w:rPr>
        <w:t>年期以相對年度表示，起始日期及各年度採用的目標均待協會決議。下表描述條件式規劃成果，不是已完成工作或已核定承諾。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CFD9DF"/>
          <w:left w:val="single" w:sz="5" w:space="0" w:color="CFD9DF"/>
          <w:bottom w:val="single" w:sz="5" w:space="0" w:color="CFD9DF"/>
          <w:right w:val="single" w:sz="5" w:space="0" w:color="CFD9DF"/>
          <w:insideH w:val="single" w:sz="5" w:space="0" w:color="CFD9DF"/>
          <w:insideV w:val="single" w:sz="5" w:space="0" w:color="CFD9DF"/>
        </w:tblBorders>
      </w:tblPr>
      <w:tblGrid>
        <w:gridCol w:w="1325"/>
        <w:gridCol w:w="1886"/>
        <w:gridCol w:w="3715"/>
        <w:gridCol w:w="3240"/>
      </w:tblGrid>
      <w:tr>
        <w:trPr>
          <w:tblHeader w:val="true"/>
          <w:cantSplit/>
        </w:trPr>
        <w:tc>
          <w:tcPr>
            <w:tcW w:type="dxa" w:w="1325"/>
            <w:shd w:fill="1F6B70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before="0" w:after="0" w:line="245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color w:val="FFFFFF"/>
                <w:sz w:val="15"/>
              </w:rPr>
              <w:t>相對年期</w:t>
            </w:r>
          </w:p>
        </w:tc>
        <w:tc>
          <w:tcPr>
            <w:tcW w:type="dxa" w:w="1886"/>
            <w:shd w:fill="1F6B70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before="0" w:after="0" w:line="245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color w:val="FFFFFF"/>
                <w:sz w:val="15"/>
              </w:rPr>
              <w:t>策略焦點</w:t>
            </w:r>
          </w:p>
        </w:tc>
        <w:tc>
          <w:tcPr>
            <w:tcW w:type="dxa" w:w="3715"/>
            <w:shd w:fill="1F6B70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before="0" w:after="0" w:line="245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color w:val="FFFFFF"/>
                <w:sz w:val="15"/>
              </w:rPr>
              <w:t>擬形成的決策與文件</w:t>
            </w:r>
          </w:p>
        </w:tc>
        <w:tc>
          <w:tcPr>
            <w:tcW w:type="dxa" w:w="3240"/>
            <w:shd w:fill="1F6B70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before="0" w:after="0" w:line="245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color w:val="FFFFFF"/>
                <w:sz w:val="15"/>
              </w:rPr>
              <w:t>進入下一階段的條件</w:t>
            </w:r>
          </w:p>
        </w:tc>
      </w:tr>
      <w:tr>
        <w:trPr>
          <w:cantSplit/>
        </w:trPr>
        <w:tc>
          <w:tcPr>
            <w:tcW w:type="dxa" w:w="132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02A30"/>
                <w:sz w:val="15"/>
              </w:rPr>
              <w:t>第一年</w:t>
            </w:r>
            <w:r>
              <w:br/>
            </w:r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02A30"/>
                <w:sz w:val="15"/>
              </w:rPr>
              <w:t>起始日待決議</w:t>
            </w:r>
          </w:p>
        </w:tc>
        <w:tc>
          <w:tcPr>
            <w:tcW w:type="dxa" w:w="1886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02A30"/>
                <w:sz w:val="15"/>
              </w:rPr>
              <w:t>需求驗證與方向聚焦</w:t>
            </w:r>
          </w:p>
        </w:tc>
        <w:tc>
          <w:tcPr>
            <w:tcW w:type="dxa" w:w="371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02A30"/>
                <w:sz w:val="15"/>
              </w:rPr>
              <w:t>完成客群／需求證據整理；決議優先客群、候選課程主題、KPI字典與基準資料需求。</w:t>
            </w:r>
          </w:p>
        </w:tc>
        <w:tc>
          <w:tcPr>
            <w:tcW w:type="dxa" w:w="3240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02A30"/>
                <w:sz w:val="15"/>
              </w:rPr>
              <w:t>需求有可追溯資料；課程方向符合核心定位；資源、法規及品質檢核方式已明確。</w:t>
            </w:r>
          </w:p>
        </w:tc>
      </w:tr>
      <w:tr>
        <w:trPr>
          <w:cantSplit/>
        </w:trPr>
        <w:tc>
          <w:tcPr>
            <w:tcW w:type="dxa" w:w="1325"/>
            <w:shd w:fill="F7F9FA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02A30"/>
                <w:sz w:val="15"/>
              </w:rPr>
              <w:t>第二年</w:t>
            </w:r>
            <w:r>
              <w:br/>
            </w:r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02A30"/>
                <w:sz w:val="15"/>
              </w:rPr>
              <w:t>條件式</w:t>
            </w:r>
          </w:p>
        </w:tc>
        <w:tc>
          <w:tcPr>
            <w:tcW w:type="dxa" w:w="1886"/>
            <w:shd w:fill="F7F9FA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02A30"/>
                <w:sz w:val="15"/>
              </w:rPr>
              <w:t>課程組合設計與驗證</w:t>
            </w:r>
          </w:p>
        </w:tc>
        <w:tc>
          <w:tcPr>
            <w:tcW w:type="dxa" w:w="3715"/>
            <w:shd w:fill="F7F9FA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02A30"/>
                <w:sz w:val="15"/>
              </w:rPr>
              <w:t>如經核定且具備條件，完成課程設計檔、品質檢核與學習評量安排；否則補足調查或修正方案。</w:t>
            </w:r>
          </w:p>
        </w:tc>
        <w:tc>
          <w:tcPr>
            <w:tcW w:type="dxa" w:w="3240"/>
            <w:shd w:fill="F7F9FA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02A30"/>
                <w:sz w:val="15"/>
              </w:rPr>
              <w:t>每項課程完成協會指定的前置審查；人力與資源已確認；指標資料可收集。</w:t>
            </w:r>
          </w:p>
        </w:tc>
      </w:tr>
      <w:tr>
        <w:trPr>
          <w:cantSplit/>
        </w:trPr>
        <w:tc>
          <w:tcPr>
            <w:tcW w:type="dxa" w:w="132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02A30"/>
                <w:sz w:val="15"/>
              </w:rPr>
              <w:t>第三年</w:t>
            </w:r>
            <w:r>
              <w:br/>
            </w:r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02A30"/>
                <w:sz w:val="15"/>
              </w:rPr>
              <w:t>條件式</w:t>
            </w:r>
          </w:p>
        </w:tc>
        <w:tc>
          <w:tcPr>
            <w:tcW w:type="dxa" w:w="1886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02A30"/>
                <w:sz w:val="15"/>
              </w:rPr>
              <w:t>依證據檢討與組合調整</w:t>
            </w:r>
          </w:p>
        </w:tc>
        <w:tc>
          <w:tcPr>
            <w:tcW w:type="dxa" w:w="371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02A30"/>
                <w:sz w:val="15"/>
              </w:rPr>
              <w:t>彙整年度KPI與教育性評量；提出保留、調整、暫緩或停止之建議，供協會決議下一期組合。</w:t>
            </w:r>
          </w:p>
        </w:tc>
        <w:tc>
          <w:tcPr>
            <w:tcW w:type="dxa" w:w="3240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02A30"/>
                <w:sz w:val="15"/>
              </w:rPr>
              <w:t>結果有資料來源與方法；未達或缺值已分析原因；調整決定及責任留有紀錄。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rPr>
          <w:rFonts w:ascii="Microsoft JhengHei" w:hAnsi="Microsoft JhengHei" w:eastAsia="Microsoft JhengHei" w:cs="Microsoft JhengHei"/>
          <w:b/>
          <w:i w:val="0"/>
          <w:color w:val="000000"/>
          <w:sz w:val="26"/>
        </w:rPr>
        <w:t>六、策略主軸—目標客群—課程產品—KPI—責任—時程矩陣</w:t>
      </w:r>
    </w:p>
    <w:p>
      <w:pPr>
        <w:spacing w:after="80" w:line="252" w:lineRule="auto"/>
      </w:pPr>
      <w:r>
        <w:rPr>
          <w:rFonts w:ascii="Microsoft JhengHei" w:hAnsi="Microsoft JhengHei" w:eastAsia="Microsoft JhengHei" w:cs="Microsoft JhengHei"/>
          <w:b w:val="0"/>
          <w:i w:val="0"/>
          <w:color w:val="52626E"/>
          <w:sz w:val="17"/>
        </w:rPr>
        <w:t>以下主軸與責任稱謂均屬建議；客群、課程產品、KPI目標和實際人員尚未採用。KPI口徑詳見下一表。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CFD9DF"/>
          <w:left w:val="single" w:sz="5" w:space="0" w:color="CFD9DF"/>
          <w:bottom w:val="single" w:sz="5" w:space="0" w:color="CFD9DF"/>
          <w:right w:val="single" w:sz="5" w:space="0" w:color="CFD9DF"/>
          <w:insideH w:val="single" w:sz="5" w:space="0" w:color="CFD9DF"/>
          <w:insideV w:val="single" w:sz="5" w:space="0" w:color="CFD9DF"/>
        </w:tblBorders>
      </w:tblPr>
      <w:tblGrid>
        <w:gridCol w:w="1368"/>
        <w:gridCol w:w="1627"/>
        <w:gridCol w:w="2088"/>
        <w:gridCol w:w="1944"/>
        <w:gridCol w:w="1728"/>
        <w:gridCol w:w="1411"/>
      </w:tblGrid>
      <w:tr>
        <w:trPr>
          <w:tblHeader w:val="true"/>
          <w:cantSplit/>
        </w:trPr>
        <w:tc>
          <w:tcPr>
            <w:tcW w:type="dxa" w:w="1368"/>
            <w:shd w:fill="203A4A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before="0" w:after="0" w:line="245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color w:val="FFFFFF"/>
                <w:sz w:val="15"/>
              </w:rPr>
              <w:t>策略主軸</w:t>
            </w:r>
          </w:p>
        </w:tc>
        <w:tc>
          <w:tcPr>
            <w:tcW w:type="dxa" w:w="1627"/>
            <w:shd w:fill="203A4A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before="0" w:after="0" w:line="245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color w:val="FFFFFF"/>
                <w:sz w:val="15"/>
              </w:rPr>
              <w:t>目標客群</w:t>
            </w:r>
          </w:p>
        </w:tc>
        <w:tc>
          <w:tcPr>
            <w:tcW w:type="dxa" w:w="2088"/>
            <w:shd w:fill="203A4A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before="0" w:after="0" w:line="245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color w:val="FFFFFF"/>
                <w:sz w:val="15"/>
              </w:rPr>
              <w:t>課程產品</w:t>
            </w:r>
          </w:p>
        </w:tc>
        <w:tc>
          <w:tcPr>
            <w:tcW w:type="dxa" w:w="1944"/>
            <w:shd w:fill="203A4A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before="0" w:after="0" w:line="245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color w:val="FFFFFF"/>
                <w:sz w:val="15"/>
              </w:rPr>
              <w:t>KPI</w:t>
            </w:r>
          </w:p>
        </w:tc>
        <w:tc>
          <w:tcPr>
            <w:tcW w:type="dxa" w:w="1728"/>
            <w:shd w:fill="203A4A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before="0" w:after="0" w:line="245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color w:val="FFFFFF"/>
                <w:sz w:val="15"/>
              </w:rPr>
              <w:t>責任角色</w:t>
            </w:r>
          </w:p>
        </w:tc>
        <w:tc>
          <w:tcPr>
            <w:tcW w:type="dxa" w:w="1411"/>
            <w:shd w:fill="203A4A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before="0" w:after="0" w:line="245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color w:val="FFFFFF"/>
                <w:sz w:val="15"/>
              </w:rPr>
              <w:t>時程</w:t>
            </w:r>
          </w:p>
        </w:tc>
      </w:tr>
      <w:tr>
        <w:trPr>
          <w:cantSplit/>
        </w:trPr>
        <w:tc>
          <w:tcPr>
            <w:tcW w:type="dxa" w:w="136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02A30"/>
                <w:sz w:val="15"/>
              </w:rPr>
              <w:t>市場驗證與聚焦</w:t>
            </w:r>
          </w:p>
        </w:tc>
        <w:tc>
          <w:tcPr>
            <w:tcW w:type="dxa" w:w="162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02A30"/>
                <w:sz w:val="15"/>
              </w:rPr>
              <w:t>依調查決議選定；候選類型見前節。</w:t>
            </w:r>
          </w:p>
        </w:tc>
        <w:tc>
          <w:tcPr>
            <w:tcW w:type="dxa" w:w="208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02A30"/>
                <w:sz w:val="15"/>
              </w:rPr>
              <w:t>需求主題與課程組合待調查／決議。</w:t>
            </w:r>
          </w:p>
        </w:tc>
        <w:tc>
          <w:tcPr>
            <w:tcW w:type="dxa" w:w="1944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02A30"/>
                <w:sz w:val="15"/>
              </w:rPr>
              <w:t>需求證據涵蓋率；策略里程碑達成率。</w:t>
            </w:r>
          </w:p>
        </w:tc>
        <w:tc>
          <w:tcPr>
            <w:tcW w:type="dxa" w:w="172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02A30"/>
                <w:sz w:val="15"/>
              </w:rPr>
              <w:t>市場／策略窗口（建議，待指派）。</w:t>
            </w:r>
          </w:p>
        </w:tc>
        <w:tc>
          <w:tcPr>
            <w:tcW w:type="dxa" w:w="1411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02A30"/>
                <w:sz w:val="15"/>
              </w:rPr>
              <w:t>第一年建立證據；其後依證據檢視。</w:t>
            </w:r>
          </w:p>
        </w:tc>
      </w:tr>
      <w:tr>
        <w:trPr>
          <w:cantSplit/>
        </w:trPr>
        <w:tc>
          <w:tcPr>
            <w:tcW w:type="dxa" w:w="1368"/>
            <w:shd w:fill="F7F9FA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02A30"/>
                <w:sz w:val="15"/>
              </w:rPr>
              <w:t>核心課程產品化</w:t>
            </w:r>
          </w:p>
        </w:tc>
        <w:tc>
          <w:tcPr>
            <w:tcW w:type="dxa" w:w="1627"/>
            <w:shd w:fill="F7F9FA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02A30"/>
                <w:sz w:val="15"/>
              </w:rPr>
              <w:t>已決議且需求證據支持的客群。</w:t>
            </w:r>
          </w:p>
        </w:tc>
        <w:tc>
          <w:tcPr>
            <w:tcW w:type="dxa" w:w="2088"/>
            <w:shd w:fill="F7F9FA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02A30"/>
                <w:sz w:val="15"/>
              </w:rPr>
              <w:t>健康教育及傳統手法相關候選課程；課名、內容與學習目標待決議。</w:t>
            </w:r>
          </w:p>
        </w:tc>
        <w:tc>
          <w:tcPr>
            <w:tcW w:type="dxa" w:w="1944"/>
            <w:shd w:fill="F7F9FA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02A30"/>
                <w:sz w:val="15"/>
              </w:rPr>
              <w:t>課程方案完備率；學習目標達成比例。</w:t>
            </w:r>
          </w:p>
        </w:tc>
        <w:tc>
          <w:tcPr>
            <w:tcW w:type="dxa" w:w="1728"/>
            <w:shd w:fill="F7F9FA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02A30"/>
                <w:sz w:val="15"/>
              </w:rPr>
              <w:t>課程設計窗口（建議，待指派）。</w:t>
            </w:r>
          </w:p>
        </w:tc>
        <w:tc>
          <w:tcPr>
            <w:tcW w:type="dxa" w:w="1411"/>
            <w:shd w:fill="F7F9FA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02A30"/>
                <w:sz w:val="15"/>
              </w:rPr>
              <w:t>第一年定設計基準；第二年條件式驗證；第三年依資料優化。</w:t>
            </w:r>
          </w:p>
        </w:tc>
      </w:tr>
      <w:tr>
        <w:trPr>
          <w:cantSplit/>
        </w:trPr>
        <w:tc>
          <w:tcPr>
            <w:tcW w:type="dxa" w:w="136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02A30"/>
                <w:sz w:val="15"/>
              </w:rPr>
              <w:t>法規與品質前置</w:t>
            </w:r>
          </w:p>
        </w:tc>
        <w:tc>
          <w:tcPr>
            <w:tcW w:type="dxa" w:w="162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02A30"/>
                <w:sz w:val="15"/>
              </w:rPr>
              <w:t>依各課程適用條件確認的對象。</w:t>
            </w:r>
          </w:p>
        </w:tc>
        <w:tc>
          <w:tcPr>
            <w:tcW w:type="dxa" w:w="208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02A30"/>
                <w:sz w:val="15"/>
              </w:rPr>
              <w:t>完成適用法規、服務界線與品質審查後才可納入。</w:t>
            </w:r>
          </w:p>
        </w:tc>
        <w:tc>
          <w:tcPr>
            <w:tcW w:type="dxa" w:w="1944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02A30"/>
                <w:sz w:val="15"/>
              </w:rPr>
              <w:t>前置檢核完成率；改善項目結案率。</w:t>
            </w:r>
          </w:p>
        </w:tc>
        <w:tc>
          <w:tcPr>
            <w:tcW w:type="dxa" w:w="172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02A30"/>
                <w:sz w:val="15"/>
              </w:rPr>
              <w:t>品質／法規窗口（建議，待指派）。</w:t>
            </w:r>
          </w:p>
        </w:tc>
        <w:tc>
          <w:tcPr>
            <w:tcW w:type="dxa" w:w="1411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02A30"/>
                <w:sz w:val="15"/>
              </w:rPr>
              <w:t>每次課程納入或修訂前；年度彙整。</w:t>
            </w:r>
          </w:p>
        </w:tc>
      </w:tr>
      <w:tr>
        <w:trPr>
          <w:cantSplit/>
        </w:trPr>
        <w:tc>
          <w:tcPr>
            <w:tcW w:type="dxa" w:w="1368"/>
            <w:shd w:fill="F7F9FA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02A30"/>
                <w:sz w:val="15"/>
              </w:rPr>
              <w:t>營運與公益價值檢視</w:t>
            </w:r>
          </w:p>
        </w:tc>
        <w:tc>
          <w:tcPr>
            <w:tcW w:type="dxa" w:w="1627"/>
            <w:shd w:fill="F7F9FA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02A30"/>
                <w:sz w:val="15"/>
              </w:rPr>
              <w:t>經證據確認的學習對象。</w:t>
            </w:r>
          </w:p>
        </w:tc>
        <w:tc>
          <w:tcPr>
            <w:tcW w:type="dxa" w:w="2088"/>
            <w:shd w:fill="F7F9FA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02A30"/>
                <w:sz w:val="15"/>
              </w:rPr>
              <w:t>經協會決議、資源與品質條件支持的課程組合。</w:t>
            </w:r>
          </w:p>
        </w:tc>
        <w:tc>
          <w:tcPr>
            <w:tcW w:type="dxa" w:w="1944"/>
            <w:shd w:fill="F7F9FA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02A30"/>
                <w:sz w:val="15"/>
              </w:rPr>
              <w:t>策略里程碑達成率；教育性學習目標達成比例。</w:t>
            </w:r>
          </w:p>
        </w:tc>
        <w:tc>
          <w:tcPr>
            <w:tcW w:type="dxa" w:w="1728"/>
            <w:shd w:fill="F7F9FA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02A30"/>
                <w:sz w:val="15"/>
              </w:rPr>
              <w:t>營運／評估窗口（建議，待指派）。</w:t>
            </w:r>
          </w:p>
        </w:tc>
        <w:tc>
          <w:tcPr>
            <w:tcW w:type="dxa" w:w="1411"/>
            <w:shd w:fill="F7F9FA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02A30"/>
                <w:sz w:val="15"/>
              </w:rPr>
              <w:t>建議按季檢視、每年重審；未核定。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rPr>
          <w:rFonts w:ascii="Microsoft JhengHei" w:hAnsi="Microsoft JhengHei" w:eastAsia="Microsoft JhengHei" w:cs="Microsoft JhengHei"/>
          <w:b/>
          <w:i w:val="0"/>
          <w:color w:val="000000"/>
          <w:sz w:val="26"/>
        </w:rPr>
        <w:t>七、年度目標與KPI口徑</w:t>
      </w:r>
    </w:p>
    <w:p>
      <w:pPr>
        <w:spacing w:after="80" w:line="252" w:lineRule="auto"/>
      </w:pPr>
      <w:r>
        <w:rPr>
          <w:rFonts w:ascii="Microsoft JhengHei" w:hAnsi="Microsoft JhengHei" w:eastAsia="Microsoft JhengHei" w:cs="Microsoft JhengHei"/>
          <w:b w:val="0"/>
          <w:i w:val="0"/>
          <w:color w:val="9B2C2C"/>
          <w:sz w:val="17"/>
        </w:rPr>
        <w:t>本表不含任何採用目標或實績。基準值一律待填實績；目標值一律待協會決議；資料表單與保存位置待建立。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CFD9DF"/>
          <w:left w:val="single" w:sz="5" w:space="0" w:color="CFD9DF"/>
          <w:bottom w:val="single" w:sz="5" w:space="0" w:color="CFD9DF"/>
          <w:right w:val="single" w:sz="5" w:space="0" w:color="CFD9DF"/>
          <w:insideH w:val="single" w:sz="5" w:space="0" w:color="CFD9DF"/>
          <w:insideV w:val="single" w:sz="5" w:space="0" w:color="CFD9DF"/>
        </w:tblBorders>
      </w:tblPr>
      <w:tblGrid>
        <w:gridCol w:w="3571"/>
        <w:gridCol w:w="1195"/>
        <w:gridCol w:w="1267"/>
        <w:gridCol w:w="2678"/>
        <w:gridCol w:w="1498"/>
      </w:tblGrid>
      <w:tr>
        <w:trPr>
          <w:tblHeader w:val="true"/>
          <w:cantSplit/>
        </w:trPr>
        <w:tc>
          <w:tcPr>
            <w:tcW w:type="dxa" w:w="3571"/>
            <w:shd w:fill="1F6B70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before="0" w:after="0" w:line="245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color w:val="FFFFFF"/>
                <w:sz w:val="15"/>
              </w:rPr>
              <w:t>KPI與計算口徑</w:t>
            </w:r>
          </w:p>
        </w:tc>
        <w:tc>
          <w:tcPr>
            <w:tcW w:type="dxa" w:w="1195"/>
            <w:shd w:fill="1F6B70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before="0" w:after="0" w:line="245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color w:val="FFFFFF"/>
                <w:sz w:val="15"/>
              </w:rPr>
              <w:t>基準值</w:t>
            </w:r>
          </w:p>
        </w:tc>
        <w:tc>
          <w:tcPr>
            <w:tcW w:type="dxa" w:w="1267"/>
            <w:shd w:fill="1F6B70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before="0" w:after="0" w:line="245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color w:val="FFFFFF"/>
                <w:sz w:val="15"/>
              </w:rPr>
              <w:t>目標值</w:t>
            </w:r>
          </w:p>
        </w:tc>
        <w:tc>
          <w:tcPr>
            <w:tcW w:type="dxa" w:w="2678"/>
            <w:shd w:fill="1F6B70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before="0" w:after="0" w:line="245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color w:val="FFFFFF"/>
                <w:sz w:val="15"/>
              </w:rPr>
              <w:t>資料來源／記錄</w:t>
            </w:r>
          </w:p>
        </w:tc>
        <w:tc>
          <w:tcPr>
            <w:tcW w:type="dxa" w:w="1498"/>
            <w:shd w:fill="1F6B70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before="0" w:after="0" w:line="245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color w:val="FFFFFF"/>
                <w:sz w:val="15"/>
              </w:rPr>
              <w:t>檢討頻率</w:t>
            </w:r>
          </w:p>
        </w:tc>
      </w:tr>
      <w:tr>
        <w:trPr>
          <w:cantSplit/>
        </w:trPr>
        <w:tc>
          <w:tcPr>
            <w:tcW w:type="dxa" w:w="3571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02A30"/>
                <w:sz w:val="14"/>
              </w:rPr>
              <w:t>需求證據涵蓋率</w:t>
            </w:r>
            <w:r>
              <w:br/>
            </w:r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02A30"/>
                <w:sz w:val="14"/>
              </w:rPr>
              <w:t>完成分析並留存的優先需求題項數 ÷ 協會決議應驗證的題項數。</w:t>
            </w:r>
          </w:p>
        </w:tc>
        <w:tc>
          <w:tcPr>
            <w:tcW w:type="dxa" w:w="119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02A30"/>
                <w:sz w:val="14"/>
              </w:rPr>
              <w:t>待填實績</w:t>
            </w:r>
          </w:p>
        </w:tc>
        <w:tc>
          <w:tcPr>
            <w:tcW w:type="dxa" w:w="12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02A30"/>
                <w:sz w:val="14"/>
              </w:rPr>
              <w:t>待協會決議</w:t>
            </w:r>
          </w:p>
        </w:tc>
        <w:tc>
          <w:tcPr>
            <w:tcW w:type="dxa" w:w="26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02A30"/>
                <w:sz w:val="14"/>
              </w:rPr>
              <w:t>需求調查設計、原始紀錄、彙整分析（待建立）。</w:t>
            </w:r>
          </w:p>
        </w:tc>
        <w:tc>
          <w:tcPr>
            <w:tcW w:type="dxa" w:w="149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02A30"/>
                <w:sz w:val="14"/>
              </w:rPr>
              <w:t>季度檢視提案；年度重審提案。</w:t>
            </w:r>
          </w:p>
        </w:tc>
      </w:tr>
      <w:tr>
        <w:trPr>
          <w:cantSplit/>
        </w:trPr>
        <w:tc>
          <w:tcPr>
            <w:tcW w:type="dxa" w:w="3571"/>
            <w:shd w:fill="F7F9FA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02A30"/>
                <w:sz w:val="14"/>
              </w:rPr>
              <w:t>課程方案完備率</w:t>
            </w:r>
            <w:r>
              <w:br/>
            </w:r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02A30"/>
                <w:sz w:val="14"/>
              </w:rPr>
              <w:t>符合已決議設計欄位的候選課程數 ÷ 本期決議納入規劃的候選課程數。</w:t>
            </w:r>
          </w:p>
        </w:tc>
        <w:tc>
          <w:tcPr>
            <w:tcW w:type="dxa" w:w="1195"/>
            <w:shd w:fill="F7F9FA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02A30"/>
                <w:sz w:val="14"/>
              </w:rPr>
              <w:t>待填實績</w:t>
            </w:r>
          </w:p>
        </w:tc>
        <w:tc>
          <w:tcPr>
            <w:tcW w:type="dxa" w:w="1267"/>
            <w:shd w:fill="F7F9FA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02A30"/>
                <w:sz w:val="14"/>
              </w:rPr>
              <w:t>待協會決議</w:t>
            </w:r>
          </w:p>
        </w:tc>
        <w:tc>
          <w:tcPr>
            <w:tcW w:type="dxa" w:w="2678"/>
            <w:shd w:fill="F7F9FA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02A30"/>
                <w:sz w:val="14"/>
              </w:rPr>
              <w:t>課程方案、學習目標、資源與品質檢核紀錄（待建立）。</w:t>
            </w:r>
          </w:p>
        </w:tc>
        <w:tc>
          <w:tcPr>
            <w:tcW w:type="dxa" w:w="1498"/>
            <w:shd w:fill="F7F9FA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02A30"/>
                <w:sz w:val="14"/>
              </w:rPr>
              <w:t>納入規劃前檢視；年度彙整提案。</w:t>
            </w:r>
          </w:p>
        </w:tc>
      </w:tr>
      <w:tr>
        <w:trPr>
          <w:cantSplit/>
        </w:trPr>
        <w:tc>
          <w:tcPr>
            <w:tcW w:type="dxa" w:w="3571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02A30"/>
                <w:sz w:val="14"/>
              </w:rPr>
              <w:t>前置檢核完成率</w:t>
            </w:r>
            <w:r>
              <w:br/>
            </w:r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02A30"/>
                <w:sz w:val="14"/>
              </w:rPr>
              <w:t>完成法規範圍及品質檢核的規劃課程數 ÷ 本期決議納入檢核的課程數。</w:t>
            </w:r>
          </w:p>
        </w:tc>
        <w:tc>
          <w:tcPr>
            <w:tcW w:type="dxa" w:w="119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02A30"/>
                <w:sz w:val="14"/>
              </w:rPr>
              <w:t>待填實績</w:t>
            </w:r>
          </w:p>
        </w:tc>
        <w:tc>
          <w:tcPr>
            <w:tcW w:type="dxa" w:w="12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02A30"/>
                <w:sz w:val="14"/>
              </w:rPr>
              <w:t>待協會決議</w:t>
            </w:r>
          </w:p>
        </w:tc>
        <w:tc>
          <w:tcPr>
            <w:tcW w:type="dxa" w:w="26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02A30"/>
                <w:sz w:val="14"/>
              </w:rPr>
              <w:t>適用範圍檢核表、品質審查及修訂紀錄（待建立）。</w:t>
            </w:r>
          </w:p>
        </w:tc>
        <w:tc>
          <w:tcPr>
            <w:tcW w:type="dxa" w:w="149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02A30"/>
                <w:sz w:val="14"/>
              </w:rPr>
              <w:t>每次納入／修訂前；年度彙整提案。</w:t>
            </w:r>
          </w:p>
        </w:tc>
      </w:tr>
      <w:tr>
        <w:trPr>
          <w:cantSplit/>
        </w:trPr>
        <w:tc>
          <w:tcPr>
            <w:tcW w:type="dxa" w:w="3571"/>
            <w:shd w:fill="F7F9FA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02A30"/>
                <w:sz w:val="14"/>
              </w:rPr>
              <w:t>策略里程碑達成率</w:t>
            </w:r>
            <w:r>
              <w:br/>
            </w:r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02A30"/>
                <w:sz w:val="14"/>
              </w:rPr>
              <w:t>有來源紀錄的已完成決議里程碑數 ÷ 本期核定里程碑數。</w:t>
            </w:r>
          </w:p>
        </w:tc>
        <w:tc>
          <w:tcPr>
            <w:tcW w:type="dxa" w:w="1195"/>
            <w:shd w:fill="F7F9FA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02A30"/>
                <w:sz w:val="14"/>
              </w:rPr>
              <w:t>待填實績</w:t>
            </w:r>
          </w:p>
        </w:tc>
        <w:tc>
          <w:tcPr>
            <w:tcW w:type="dxa" w:w="1267"/>
            <w:shd w:fill="F7F9FA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02A30"/>
                <w:sz w:val="14"/>
              </w:rPr>
              <w:t>待協會決議</w:t>
            </w:r>
          </w:p>
        </w:tc>
        <w:tc>
          <w:tcPr>
            <w:tcW w:type="dxa" w:w="2678"/>
            <w:shd w:fill="F7F9FA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02A30"/>
                <w:sz w:val="14"/>
              </w:rPr>
              <w:t>經決議的年度計畫、檢討紀錄及成果證據位置（待建立）。</w:t>
            </w:r>
          </w:p>
        </w:tc>
        <w:tc>
          <w:tcPr>
            <w:tcW w:type="dxa" w:w="1498"/>
            <w:shd w:fill="F7F9FA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02A30"/>
                <w:sz w:val="14"/>
              </w:rPr>
              <w:t>季度檢視提案；年度重審提案。</w:t>
            </w:r>
          </w:p>
        </w:tc>
      </w:tr>
      <w:tr>
        <w:trPr>
          <w:cantSplit/>
        </w:trPr>
        <w:tc>
          <w:tcPr>
            <w:tcW w:type="dxa" w:w="3571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02A30"/>
                <w:sz w:val="14"/>
              </w:rPr>
              <w:t>教育性學習目標達成比例</w:t>
            </w:r>
            <w:r>
              <w:br/>
            </w:r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02A30"/>
                <w:sz w:val="14"/>
              </w:rPr>
              <w:t>依事前決議的教育性評量標準達標人數 ÷ 實際完成評量人數。</w:t>
            </w:r>
          </w:p>
        </w:tc>
        <w:tc>
          <w:tcPr>
            <w:tcW w:type="dxa" w:w="119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02A30"/>
                <w:sz w:val="14"/>
              </w:rPr>
              <w:t>待填實績</w:t>
            </w:r>
          </w:p>
        </w:tc>
        <w:tc>
          <w:tcPr>
            <w:tcW w:type="dxa" w:w="12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02A30"/>
                <w:sz w:val="14"/>
              </w:rPr>
              <w:t>待協會決議</w:t>
            </w:r>
          </w:p>
        </w:tc>
        <w:tc>
          <w:tcPr>
            <w:tcW w:type="dxa" w:w="26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02A30"/>
                <w:sz w:val="14"/>
              </w:rPr>
              <w:t>課程目標、評量規準與評量紀錄（實際辦課後才可能產生）。</w:t>
            </w:r>
          </w:p>
        </w:tc>
        <w:tc>
          <w:tcPr>
            <w:tcW w:type="dxa" w:w="149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02A30"/>
                <w:sz w:val="14"/>
              </w:rPr>
              <w:t>課程後彙整提案；年度重審提案。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2" w:space="0" w:color="EEF3F7"/>
          <w:left w:val="single" w:sz="2" w:space="0" w:color="EEF3F7"/>
          <w:bottom w:val="single" w:sz="2" w:space="0" w:color="EEF3F7"/>
          <w:right w:val="single" w:sz="2" w:space="0" w:color="EEF3F7"/>
          <w:insideH w:val="single" w:sz="2" w:space="0" w:color="EEF3F7"/>
          <w:insideV w:val="single" w:sz="2" w:space="0" w:color="EEF3F7"/>
        </w:tblBorders>
      </w:tblPr>
      <w:tblGrid>
        <w:gridCol w:w="10195"/>
      </w:tblGrid>
      <w:tr>
        <w:tc>
          <w:tcPr>
            <w:tcW w:type="dxa" w:w="10195"/>
            <w:shd w:fill="EEF3F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03A4A"/>
                <w:sz w:val="16"/>
              </w:rPr>
              <w:t>共同計算規則（Blueprint要求）：年度KPI達成率＝實績／目標；年度成長率＝（本年實績－前一年實績）／前一年實績。目標或前一年實績為0、缺漏或未決議時，標記「不適用／待補資料」並說明原因，不以0代替未知值；教育性指標不代表醫療或療效結果。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rPr>
          <w:rFonts w:ascii="Microsoft JhengHei" w:hAnsi="Microsoft JhengHei" w:eastAsia="Microsoft JhengHei" w:cs="Microsoft JhengHei"/>
          <w:b/>
          <w:i w:val="0"/>
          <w:color w:val="000000"/>
          <w:sz w:val="26"/>
        </w:rPr>
        <w:t>八、資源與責任安排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CFD9DF"/>
          <w:left w:val="single" w:sz="5" w:space="0" w:color="CFD9DF"/>
          <w:bottom w:val="single" w:sz="5" w:space="0" w:color="CFD9DF"/>
          <w:right w:val="single" w:sz="5" w:space="0" w:color="CFD9DF"/>
          <w:insideH w:val="single" w:sz="5" w:space="0" w:color="CFD9DF"/>
          <w:insideV w:val="single" w:sz="5" w:space="0" w:color="CFD9DF"/>
        </w:tblBorders>
      </w:tblPr>
      <w:tblGrid>
        <w:gridCol w:w="3485"/>
        <w:gridCol w:w="2477"/>
        <w:gridCol w:w="4248"/>
      </w:tblGrid>
      <w:tr>
        <w:trPr>
          <w:tblHeader w:val="true"/>
          <w:cantSplit/>
        </w:trPr>
        <w:tc>
          <w:tcPr>
            <w:tcW w:type="dxa" w:w="3485"/>
            <w:shd w:fill="203A4A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before="0" w:after="0" w:line="245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color w:val="FFFFFF"/>
                <w:sz w:val="15"/>
              </w:rPr>
              <w:t>規劃所需能力／資源</w:t>
            </w:r>
          </w:p>
        </w:tc>
        <w:tc>
          <w:tcPr>
            <w:tcW w:type="dxa" w:w="2477"/>
            <w:shd w:fill="203A4A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before="0" w:after="0" w:line="245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color w:val="FFFFFF"/>
                <w:sz w:val="15"/>
              </w:rPr>
              <w:t>建議責任窗口（均待協會指派）</w:t>
            </w:r>
          </w:p>
        </w:tc>
        <w:tc>
          <w:tcPr>
            <w:tcW w:type="dxa" w:w="4248"/>
            <w:shd w:fill="203A4A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before="0" w:after="0" w:line="245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color w:val="FFFFFF"/>
                <w:sz w:val="15"/>
              </w:rPr>
              <w:t>待核實及留存</w:t>
            </w:r>
          </w:p>
        </w:tc>
      </w:tr>
      <w:tr>
        <w:trPr>
          <w:cantSplit/>
        </w:trPr>
        <w:tc>
          <w:tcPr>
            <w:tcW w:type="dxa" w:w="348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02A30"/>
                <w:sz w:val="15"/>
              </w:rPr>
              <w:t>市場需求研究、客群判讀與策略維護</w:t>
            </w:r>
          </w:p>
        </w:tc>
        <w:tc>
          <w:tcPr>
            <w:tcW w:type="dxa" w:w="247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02A30"/>
                <w:sz w:val="15"/>
              </w:rPr>
              <w:t>市場／策略窗口</w:t>
            </w:r>
          </w:p>
        </w:tc>
        <w:tc>
          <w:tcPr>
            <w:tcW w:type="dxa" w:w="424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02A30"/>
                <w:sz w:val="15"/>
              </w:rPr>
              <w:t>實際負責人、研究方法、資料存取與保存位置。</w:t>
            </w:r>
          </w:p>
        </w:tc>
      </w:tr>
      <w:tr>
        <w:trPr>
          <w:cantSplit/>
        </w:trPr>
        <w:tc>
          <w:tcPr>
            <w:tcW w:type="dxa" w:w="3485"/>
            <w:shd w:fill="F7F9FA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02A30"/>
                <w:sz w:val="15"/>
              </w:rPr>
              <w:t>課程目標、教材與教學設計</w:t>
            </w:r>
          </w:p>
        </w:tc>
        <w:tc>
          <w:tcPr>
            <w:tcW w:type="dxa" w:w="2477"/>
            <w:shd w:fill="F7F9FA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02A30"/>
                <w:sz w:val="15"/>
              </w:rPr>
              <w:t>課程設計窗口</w:t>
            </w:r>
          </w:p>
        </w:tc>
        <w:tc>
          <w:tcPr>
            <w:tcW w:type="dxa" w:w="4248"/>
            <w:shd w:fill="F7F9FA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02A30"/>
                <w:sz w:val="15"/>
              </w:rPr>
              <w:t>專業能力、課程設計資源、可投入時間及審查流程。</w:t>
            </w:r>
          </w:p>
        </w:tc>
      </w:tr>
      <w:tr>
        <w:trPr>
          <w:cantSplit/>
        </w:trPr>
        <w:tc>
          <w:tcPr>
            <w:tcW w:type="dxa" w:w="348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02A30"/>
                <w:sz w:val="15"/>
              </w:rPr>
              <w:t>法規適用、服務界線與品質檢核</w:t>
            </w:r>
          </w:p>
        </w:tc>
        <w:tc>
          <w:tcPr>
            <w:tcW w:type="dxa" w:w="247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02A30"/>
                <w:sz w:val="15"/>
              </w:rPr>
              <w:t>品質／法規窗口</w:t>
            </w:r>
          </w:p>
        </w:tc>
        <w:tc>
          <w:tcPr>
            <w:tcW w:type="dxa" w:w="424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02A30"/>
                <w:sz w:val="15"/>
              </w:rPr>
              <w:t>核實適用規範、審查方式、版本與依據；本稿不預判合規。</w:t>
            </w:r>
          </w:p>
        </w:tc>
      </w:tr>
      <w:tr>
        <w:trPr>
          <w:cantSplit/>
        </w:trPr>
        <w:tc>
          <w:tcPr>
            <w:tcW w:type="dxa" w:w="3485"/>
            <w:shd w:fill="F7F9FA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02A30"/>
                <w:sz w:val="15"/>
              </w:rPr>
              <w:t>年度工作、KPI資料及檢討紀錄</w:t>
            </w:r>
          </w:p>
        </w:tc>
        <w:tc>
          <w:tcPr>
            <w:tcW w:type="dxa" w:w="2477"/>
            <w:shd w:fill="F7F9FA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02A30"/>
                <w:sz w:val="15"/>
              </w:rPr>
              <w:t>營運／評估窗口</w:t>
            </w:r>
          </w:p>
        </w:tc>
        <w:tc>
          <w:tcPr>
            <w:tcW w:type="dxa" w:w="4248"/>
            <w:shd w:fill="F7F9FA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02A30"/>
                <w:sz w:val="15"/>
              </w:rPr>
              <w:t>責任分工、原始紀錄、計算人與覆核人、保存位置。</w:t>
            </w:r>
          </w:p>
        </w:tc>
      </w:tr>
    </w:tbl>
    <w:p>
      <w:pPr>
        <w:spacing w:after="20"/>
      </w:pPr>
    </w:p>
    <w:p>
      <w:pPr>
        <w:spacing w:after="80" w:line="252" w:lineRule="auto"/>
      </w:pPr>
      <w:r>
        <w:rPr>
          <w:rFonts w:ascii="Microsoft JhengHei" w:hAnsi="Microsoft JhengHei" w:eastAsia="Microsoft JhengHei" w:cs="Microsoft JhengHei"/>
          <w:b w:val="0"/>
          <w:i w:val="0"/>
          <w:color w:val="202A30"/>
          <w:sz w:val="18"/>
        </w:rPr>
        <w:t>人力、師資、場地、設備、教材、外部協作及預算均須逐項核實。未取得協會核准的資源數據前，不列成本、收入、招生量或財務推估。</w:t>
      </w:r>
    </w:p>
    <w:p>
      <w:pPr>
        <w:pStyle w:val="Heading1"/>
        <w:keepNext/>
      </w:pPr>
      <w:r>
        <w:rPr>
          <w:rFonts w:ascii="Microsoft JhengHei" w:hAnsi="Microsoft JhengHei" w:eastAsia="Microsoft JhengHei" w:cs="Microsoft JhengHei"/>
          <w:b/>
          <w:i w:val="0"/>
          <w:color w:val="000000"/>
          <w:sz w:val="26"/>
        </w:rPr>
        <w:t>九、風險、假設與控制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CFD9DF"/>
          <w:left w:val="single" w:sz="5" w:space="0" w:color="CFD9DF"/>
          <w:bottom w:val="single" w:sz="5" w:space="0" w:color="CFD9DF"/>
          <w:right w:val="single" w:sz="5" w:space="0" w:color="CFD9DF"/>
          <w:insideH w:val="single" w:sz="5" w:space="0" w:color="CFD9DF"/>
          <w:insideV w:val="single" w:sz="5" w:space="0" w:color="CFD9DF"/>
        </w:tblBorders>
      </w:tblPr>
      <w:tblGrid>
        <w:gridCol w:w="2232"/>
        <w:gridCol w:w="2664"/>
        <w:gridCol w:w="5314"/>
      </w:tblGrid>
      <w:tr>
        <w:trPr>
          <w:tblHeader w:val="true"/>
          <w:cantSplit/>
        </w:trPr>
        <w:tc>
          <w:tcPr>
            <w:tcW w:type="dxa" w:w="2232"/>
            <w:shd w:fill="1F6B70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before="0" w:after="0" w:line="245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color w:val="FFFFFF"/>
                <w:sz w:val="15"/>
              </w:rPr>
              <w:t>風險／未驗證假設</w:t>
            </w:r>
          </w:p>
        </w:tc>
        <w:tc>
          <w:tcPr>
            <w:tcW w:type="dxa" w:w="2664"/>
            <w:shd w:fill="1F6B70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before="0" w:after="0" w:line="245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color w:val="FFFFFF"/>
                <w:sz w:val="15"/>
              </w:rPr>
              <w:t>可能影響</w:t>
            </w:r>
          </w:p>
        </w:tc>
        <w:tc>
          <w:tcPr>
            <w:tcW w:type="dxa" w:w="5314"/>
            <w:shd w:fill="1F6B70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before="0" w:after="0" w:line="245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color w:val="FFFFFF"/>
                <w:sz w:val="15"/>
              </w:rPr>
              <w:t>控制與決策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02A30"/>
                <w:sz w:val="15"/>
              </w:rPr>
              <w:t>客群或需求尚未驗證。</w:t>
            </w:r>
          </w:p>
        </w:tc>
        <w:tc>
          <w:tcPr>
            <w:tcW w:type="dxa" w:w="2664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02A30"/>
                <w:sz w:val="15"/>
              </w:rPr>
              <w:t>課程方向可能與真實需求不符。</w:t>
            </w:r>
          </w:p>
        </w:tc>
        <w:tc>
          <w:tcPr>
            <w:tcW w:type="dxa" w:w="5314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02A30"/>
                <w:sz w:val="15"/>
              </w:rPr>
              <w:t>先形成可追溯的需求證據與判讀；資料不足時維持「待查」，延後客群與產品決議。</w:t>
            </w:r>
          </w:p>
        </w:tc>
      </w:tr>
      <w:tr>
        <w:trPr>
          <w:cantSplit/>
        </w:trPr>
        <w:tc>
          <w:tcPr>
            <w:tcW w:type="dxa" w:w="2232"/>
            <w:shd w:fill="F7F9FA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02A30"/>
                <w:sz w:val="15"/>
              </w:rPr>
              <w:t>課程範圍或宣傳文字未完成適用性檢視。</w:t>
            </w:r>
          </w:p>
        </w:tc>
        <w:tc>
          <w:tcPr>
            <w:tcW w:type="dxa" w:w="2664"/>
            <w:shd w:fill="F7F9FA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02A30"/>
                <w:sz w:val="15"/>
              </w:rPr>
              <w:t>服務界線、品質或對外表述可能不適切。</w:t>
            </w:r>
          </w:p>
        </w:tc>
        <w:tc>
          <w:tcPr>
            <w:tcW w:type="dxa" w:w="5314"/>
            <w:shd w:fill="F7F9FA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02A30"/>
                <w:sz w:val="15"/>
              </w:rPr>
              <w:t>課程進入規劃前完成協會指定的法規／品質覆核；不以療效或醫療結果作為本策略成果主張。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02A30"/>
                <w:sz w:val="15"/>
              </w:rPr>
              <w:t>人力、能力、時間或預算未確認。</w:t>
            </w:r>
          </w:p>
        </w:tc>
        <w:tc>
          <w:tcPr>
            <w:tcW w:type="dxa" w:w="2664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02A30"/>
                <w:sz w:val="15"/>
              </w:rPr>
              <w:t>計畫無法持續或目標超出資源。</w:t>
            </w:r>
          </w:p>
        </w:tc>
        <w:tc>
          <w:tcPr>
            <w:tcW w:type="dxa" w:w="5314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02A30"/>
                <w:sz w:val="15"/>
              </w:rPr>
              <w:t>取得實際資源盤點及授權後再定目標；無數據不估算、不先承諾。</w:t>
            </w:r>
          </w:p>
        </w:tc>
      </w:tr>
      <w:tr>
        <w:trPr>
          <w:cantSplit/>
        </w:trPr>
        <w:tc>
          <w:tcPr>
            <w:tcW w:type="dxa" w:w="2232"/>
            <w:shd w:fill="F7F9FA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02A30"/>
                <w:sz w:val="15"/>
              </w:rPr>
              <w:t>基準、目標與來源定義不完整。</w:t>
            </w:r>
          </w:p>
        </w:tc>
        <w:tc>
          <w:tcPr>
            <w:tcW w:type="dxa" w:w="2664"/>
            <w:shd w:fill="F7F9FA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02A30"/>
                <w:sz w:val="15"/>
              </w:rPr>
              <w:t>KPI不可比較或誤判缺值。</w:t>
            </w:r>
          </w:p>
        </w:tc>
        <w:tc>
          <w:tcPr>
            <w:tcW w:type="dxa" w:w="5314"/>
            <w:shd w:fill="F7F9FA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02A30"/>
                <w:sz w:val="15"/>
              </w:rPr>
              <w:t>先定義分子、分母、範圍、來源、責任與覆核；缺值標示原因，不視為零。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02A30"/>
                <w:sz w:val="15"/>
              </w:rPr>
              <w:t>課程成果被誤讀為健康療效或既有成績。</w:t>
            </w:r>
          </w:p>
        </w:tc>
        <w:tc>
          <w:tcPr>
            <w:tcW w:type="dxa" w:w="2664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02A30"/>
                <w:sz w:val="15"/>
              </w:rPr>
              <w:t>產生未經證實的成果宣稱。</w:t>
            </w:r>
          </w:p>
        </w:tc>
        <w:tc>
          <w:tcPr>
            <w:tcW w:type="dxa" w:w="5314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02A30"/>
                <w:sz w:val="15"/>
              </w:rPr>
              <w:t>只採事前定義的教育性目標與可核實記錄；不將學習指標延伸為醫療效果。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rPr>
          <w:rFonts w:ascii="Microsoft JhengHei" w:hAnsi="Microsoft JhengHei" w:eastAsia="Microsoft JhengHei" w:cs="Microsoft JhengHei"/>
          <w:b/>
          <w:i w:val="0"/>
          <w:color w:val="000000"/>
          <w:sz w:val="26"/>
        </w:rPr>
        <w:t>十、季度／年度檢討與修訂</w:t>
      </w:r>
    </w:p>
    <w:p>
      <w:pPr>
        <w:spacing w:after="80" w:line="252" w:lineRule="auto"/>
      </w:pPr>
      <w:r>
        <w:rPr>
          <w:rFonts w:ascii="Microsoft JhengHei" w:hAnsi="Microsoft JhengHei" w:eastAsia="Microsoft JhengHei" w:cs="Microsoft JhengHei"/>
          <w:b w:val="0"/>
          <w:i w:val="0"/>
          <w:color w:val="202A30"/>
          <w:sz w:val="18"/>
        </w:rPr>
        <w:t>檢討頻率是提案，尚未採用；請由協會決議實際週期、責任角色及日期。所有偏差須回到來源與定義核實後再做判斷。</w:t>
      </w:r>
    </w:p>
    <w:p>
      <w:pPr>
        <w:pStyle w:val="ListBullet"/>
        <w:spacing w:after="40" w:line="245" w:lineRule="auto"/>
        <w:ind w:left="274" w:hanging="173"/>
      </w:pPr>
      <w:r>
        <w:rPr>
          <w:rFonts w:ascii="Microsoft JhengHei" w:hAnsi="Microsoft JhengHei" w:eastAsia="Microsoft JhengHei" w:cs="Microsoft JhengHei"/>
          <w:b w:val="0"/>
          <w:i w:val="0"/>
          <w:color w:val="202A30"/>
          <w:sz w:val="17"/>
        </w:rPr>
        <w:t>整理本期已取得的市場、課程設計、資源、品質與KPI原始記錄；每項資料附來源及保存位置。</w:t>
      </w:r>
    </w:p>
    <w:p>
      <w:pPr>
        <w:pStyle w:val="ListBullet"/>
        <w:spacing w:after="40" w:line="245" w:lineRule="auto"/>
        <w:ind w:left="274" w:hanging="173"/>
      </w:pPr>
      <w:r>
        <w:rPr>
          <w:rFonts w:ascii="Microsoft JhengHei" w:hAnsi="Microsoft JhengHei" w:eastAsia="Microsoft JhengHei" w:cs="Microsoft JhengHei"/>
          <w:b w:val="0"/>
          <w:i w:val="0"/>
          <w:color w:val="202A30"/>
          <w:sz w:val="17"/>
        </w:rPr>
        <w:t>依已決議的基準與目標計算；目標未決、分母為零或資料缺漏時標為不適用，並記錄原因與補資料責任。</w:t>
      </w:r>
    </w:p>
    <w:p>
      <w:pPr>
        <w:pStyle w:val="ListBullet"/>
        <w:spacing w:after="40" w:line="245" w:lineRule="auto"/>
        <w:ind w:left="274" w:hanging="173"/>
      </w:pPr>
      <w:r>
        <w:rPr>
          <w:rFonts w:ascii="Microsoft JhengHei" w:hAnsi="Microsoft JhengHei" w:eastAsia="Microsoft JhengHei" w:cs="Microsoft JhengHei"/>
          <w:b w:val="0"/>
          <w:i w:val="0"/>
          <w:color w:val="202A30"/>
          <w:sz w:val="17"/>
        </w:rPr>
        <w:t>辨識偏差原因及其對客群、課程組合、資源、法規／品質條件的影響；不以無來源的推測補寫結果。</w:t>
      </w:r>
    </w:p>
    <w:p>
      <w:pPr>
        <w:pStyle w:val="ListBullet"/>
        <w:spacing w:after="40" w:line="245" w:lineRule="auto"/>
        <w:ind w:left="274" w:hanging="173"/>
      </w:pPr>
      <w:r>
        <w:rPr>
          <w:rFonts w:ascii="Microsoft JhengHei" w:hAnsi="Microsoft JhengHei" w:eastAsia="Microsoft JhengHei" w:cs="Microsoft JhengHei"/>
          <w:b w:val="0"/>
          <w:i w:val="0"/>
          <w:color w:val="202A30"/>
          <w:sz w:val="17"/>
        </w:rPr>
        <w:t>提出維持、調整、暫緩或停止的方案，由協會依其決策程序決議；未核定的方案維持草案狀態。</w:t>
      </w:r>
    </w:p>
    <w:p>
      <w:pPr>
        <w:pStyle w:val="ListBullet"/>
        <w:spacing w:after="40" w:line="245" w:lineRule="auto"/>
        <w:ind w:left="274" w:hanging="173"/>
      </w:pPr>
      <w:r>
        <w:rPr>
          <w:rFonts w:ascii="Microsoft JhengHei" w:hAnsi="Microsoft JhengHei" w:eastAsia="Microsoft JhengHei" w:cs="Microsoft JhengHei"/>
          <w:b w:val="0"/>
          <w:i w:val="0"/>
          <w:color w:val="202A30"/>
          <w:sz w:val="17"/>
        </w:rPr>
        <w:t>更新策略版本、KPI口徑、責任與證據索引；保留決議日期、核定者及依據的實際欄位，未確認前留白。</w:t>
      </w:r>
    </w:p>
    <w:p>
      <w:pPr>
        <w:spacing w:after="80" w:line="252" w:lineRule="auto"/>
      </w:pPr>
      <w:r>
        <w:rPr>
          <w:rFonts w:ascii="Microsoft JhengHei" w:hAnsi="Microsoft JhengHei" w:eastAsia="Microsoft JhengHei" w:cs="Microsoft JhengHei"/>
          <w:b w:val="0"/>
          <w:i w:val="0"/>
          <w:color w:val="202A30"/>
          <w:sz w:val="17"/>
        </w:rPr>
        <w:t>啟動額外檢視的提案條件：經核實的需求變化、資源條件變動、課程適用範圍／品質條件需重審，或KPI達成率偏離已核定目標。具體門檻與處理時限待協會決議。</w:t>
      </w:r>
    </w:p>
    <w:p>
      <w:pPr>
        <w:pStyle w:val="Heading1"/>
        <w:keepNext/>
      </w:pPr>
      <w:r>
        <w:rPr>
          <w:rFonts w:ascii="Microsoft JhengHei" w:hAnsi="Microsoft JhengHei" w:eastAsia="Microsoft JhengHei" w:cs="Microsoft JhengHei"/>
          <w:b/>
          <w:i w:val="0"/>
          <w:color w:val="000000"/>
          <w:sz w:val="26"/>
        </w:rPr>
        <w:t>十一、決策問題與I01-E01專屬追溯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CFD9DF"/>
          <w:left w:val="single" w:sz="5" w:space="0" w:color="CFD9DF"/>
          <w:bottom w:val="single" w:sz="5" w:space="0" w:color="CFD9DF"/>
          <w:right w:val="single" w:sz="5" w:space="0" w:color="CFD9DF"/>
          <w:insideH w:val="single" w:sz="5" w:space="0" w:color="CFD9DF"/>
          <w:insideV w:val="single" w:sz="5" w:space="0" w:color="CFD9DF"/>
        </w:tblBorders>
      </w:tblPr>
      <w:tblGrid>
        <w:gridCol w:w="3096"/>
        <w:gridCol w:w="7114"/>
      </w:tblGrid>
      <w:tr>
        <w:trPr>
          <w:tblHeader w:val="true"/>
          <w:cantSplit/>
        </w:trPr>
        <w:tc>
          <w:tcPr>
            <w:tcW w:type="dxa" w:w="3096"/>
            <w:shd w:fill="203A4A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before="0" w:after="0" w:line="245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color w:val="FFFFFF"/>
                <w:sz w:val="16"/>
              </w:rPr>
              <w:t>決策問題</w:t>
            </w:r>
          </w:p>
        </w:tc>
        <w:tc>
          <w:tcPr>
            <w:tcW w:type="dxa" w:w="7114"/>
            <w:shd w:fill="203A4A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before="0" w:after="0" w:line="245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color w:val="FFFFFF"/>
                <w:sz w:val="16"/>
              </w:rPr>
              <w:t>本文回答／待決議內容</w:t>
            </w:r>
          </w:p>
        </w:tc>
      </w:tr>
      <w:tr>
        <w:trPr>
          <w:cantSplit/>
        </w:trPr>
        <w:tc>
          <w:tcPr>
            <w:tcW w:type="dxa" w:w="3096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02A30"/>
                <w:sz w:val="16"/>
              </w:rPr>
              <w:t>目標客群是誰且為何？</w:t>
            </w:r>
          </w:p>
        </w:tc>
        <w:tc>
          <w:tcPr>
            <w:tcW w:type="dxa" w:w="7114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02A30"/>
                <w:sz w:val="16"/>
              </w:rPr>
              <w:t>待需求證據與協會決議；前列客群僅為調查候選類型。</w:t>
            </w:r>
          </w:p>
        </w:tc>
      </w:tr>
      <w:tr>
        <w:trPr>
          <w:cantSplit/>
        </w:trPr>
        <w:tc>
          <w:tcPr>
            <w:tcW w:type="dxa" w:w="3096"/>
            <w:shd w:fill="F7F9FA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02A30"/>
                <w:sz w:val="16"/>
              </w:rPr>
              <w:t>哪些課程主軸支撐經營方向？</w:t>
            </w:r>
          </w:p>
        </w:tc>
        <w:tc>
          <w:tcPr>
            <w:tcW w:type="dxa" w:w="7114"/>
            <w:shd w:fill="F7F9FA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02A30"/>
                <w:sz w:val="16"/>
              </w:rPr>
              <w:t>健康教育與傳統整復推拿技術為核心；具體課程產品尚待需求、資源、法規與品質審查。</w:t>
            </w:r>
          </w:p>
        </w:tc>
      </w:tr>
      <w:tr>
        <w:trPr>
          <w:cantSplit/>
        </w:trPr>
        <w:tc>
          <w:tcPr>
            <w:tcW w:type="dxa" w:w="3096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02A30"/>
                <w:sz w:val="16"/>
              </w:rPr>
              <w:t>每一策略如何量化？</w:t>
            </w:r>
          </w:p>
        </w:tc>
        <w:tc>
          <w:tcPr>
            <w:tcW w:type="dxa" w:w="7114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02A30"/>
                <w:sz w:val="16"/>
              </w:rPr>
              <w:t>採本稿KPI表的定義、分子分母、資料來源與檢討頻率；基準與目標留待填／決議。</w:t>
            </w:r>
          </w:p>
        </w:tc>
      </w:tr>
      <w:tr>
        <w:trPr>
          <w:cantSplit/>
        </w:trPr>
        <w:tc>
          <w:tcPr>
            <w:tcW w:type="dxa" w:w="3096"/>
            <w:shd w:fill="F7F9FA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02A30"/>
                <w:sz w:val="16"/>
              </w:rPr>
              <w:t>若KPI偏離，何時啟動調整？</w:t>
            </w:r>
          </w:p>
        </w:tc>
        <w:tc>
          <w:tcPr>
            <w:tcW w:type="dxa" w:w="7114"/>
            <w:shd w:fill="F7F9FA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02A30"/>
                <w:sz w:val="16"/>
              </w:rPr>
              <w:t>建議在提案檢討週期發現偏離或缺值時先核實原因，再提交維持、調整、暫緩或停止方案；週期與門檻待決議。</w:t>
            </w:r>
          </w:p>
        </w:tc>
      </w:tr>
      <w:tr>
        <w:trPr>
          <w:cantSplit/>
        </w:trPr>
        <w:tc>
          <w:tcPr>
            <w:tcW w:type="dxa" w:w="3096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02A30"/>
                <w:sz w:val="16"/>
              </w:rPr>
              <w:t>本文哪一部分直接證明策略地圖要求？</w:t>
            </w:r>
          </w:p>
        </w:tc>
        <w:tc>
          <w:tcPr>
            <w:tcW w:type="dxa" w:w="7114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02A30"/>
                <w:sz w:val="16"/>
              </w:rPr>
              <w:t>策略因果圖、三年框架、策略主軸矩陣、KPI表及本追溯表共同呈現；沒有假稱實績或核定。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CFD9DF"/>
          <w:left w:val="single" w:sz="5" w:space="0" w:color="CFD9DF"/>
          <w:bottom w:val="single" w:sz="5" w:space="0" w:color="CFD9DF"/>
          <w:right w:val="single" w:sz="5" w:space="0" w:color="CFD9DF"/>
          <w:insideH w:val="single" w:sz="5" w:space="0" w:color="CFD9DF"/>
          <w:insideV w:val="single" w:sz="5" w:space="0" w:color="CFD9DF"/>
        </w:tblBorders>
      </w:tblPr>
      <w:tblGrid>
        <w:gridCol w:w="1814"/>
        <w:gridCol w:w="1800"/>
        <w:gridCol w:w="1987"/>
        <w:gridCol w:w="1656"/>
        <w:gridCol w:w="1685"/>
        <w:gridCol w:w="1267"/>
      </w:tblGrid>
      <w:tr>
        <w:trPr>
          <w:tblHeader w:val="true"/>
          <w:cantSplit/>
        </w:trPr>
        <w:tc>
          <w:tcPr>
            <w:tcW w:type="dxa" w:w="1814"/>
            <w:shd w:fill="1F6B70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before="0" w:after="0" w:line="245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color w:val="FFFFFF"/>
                <w:sz w:val="13"/>
              </w:rPr>
              <w:t>要求</w:t>
            </w:r>
          </w:p>
        </w:tc>
        <w:tc>
          <w:tcPr>
            <w:tcW w:type="dxa" w:w="1800"/>
            <w:shd w:fill="1F6B70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before="0" w:after="0" w:line="245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color w:val="FFFFFF"/>
                <w:sz w:val="13"/>
              </w:rPr>
              <w:t>資料來源</w:t>
            </w:r>
          </w:p>
        </w:tc>
        <w:tc>
          <w:tcPr>
            <w:tcW w:type="dxa" w:w="1987"/>
            <w:shd w:fill="1F6B70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before="0" w:after="0" w:line="245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color w:val="FFFFFF"/>
                <w:sz w:val="13"/>
              </w:rPr>
              <w:t>欄位／指標</w:t>
            </w:r>
          </w:p>
        </w:tc>
        <w:tc>
          <w:tcPr>
            <w:tcW w:type="dxa" w:w="1656"/>
            <w:shd w:fill="1F6B70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before="0" w:after="0" w:line="245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color w:val="FFFFFF"/>
                <w:sz w:val="13"/>
              </w:rPr>
              <w:t>結果</w:t>
            </w:r>
          </w:p>
        </w:tc>
        <w:tc>
          <w:tcPr>
            <w:tcW w:type="dxa" w:w="1685"/>
            <w:shd w:fill="1F6B70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before="0" w:after="0" w:line="245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color w:val="FFFFFF"/>
                <w:sz w:val="13"/>
              </w:rPr>
              <w:t>證據位置</w:t>
            </w:r>
          </w:p>
        </w:tc>
        <w:tc>
          <w:tcPr>
            <w:tcW w:type="dxa" w:w="1267"/>
            <w:shd w:fill="1F6B70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before="0" w:after="0" w:line="245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color w:val="FFFFFF"/>
                <w:sz w:val="13"/>
              </w:rPr>
              <w:t>覆核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02A30"/>
                <w:sz w:val="13"/>
              </w:rPr>
              <w:t>中長程的業務發展規劃策略地圖。 （p.13；OOO手冊中第O頁； 官網首頁）</w:t>
            </w:r>
          </w:p>
        </w:tc>
        <w:tc>
          <w:tcPr>
            <w:tcW w:type="dxa" w:w="1800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02A30"/>
                <w:sz w:val="13"/>
              </w:rPr>
              <w:t>官方查核佐證文件資料表（附件46）PDF p.1；標準手冊PDF p.116／印刷p.110。未來客群判讀須另附實際調查資料。</w:t>
            </w:r>
          </w:p>
        </w:tc>
        <w:tc>
          <w:tcPr>
            <w:tcW w:type="dxa" w:w="198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02A30"/>
                <w:sz w:val="13"/>
              </w:rPr>
              <w:t>使命→市場價值→課程能力→成果圖；策略主軸／客群／課程／KPI／責任／時程矩陣；基準、目標、來源、檢討表。</w:t>
            </w:r>
          </w:p>
        </w:tc>
        <w:tc>
          <w:tcPr>
            <w:tcW w:type="dxa" w:w="1656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02A30"/>
                <w:sz w:val="13"/>
              </w:rPr>
              <w:t>方向框架已提出；所有實績、基準、目標、客群採用與核定結果均待填／待決議。</w:t>
            </w:r>
          </w:p>
        </w:tc>
        <w:tc>
          <w:tcPr>
            <w:tcW w:type="dxa" w:w="168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02A30"/>
                <w:sz w:val="13"/>
              </w:rPr>
              <w:t>本文「策略地圖」「三年框架」「策略矩陣」「年度目標與KPI」「風險與假設」「檢討與修訂」各節及其表圖。</w:t>
            </w:r>
          </w:p>
        </w:tc>
        <w:tc>
          <w:tcPr>
            <w:tcW w:type="dxa" w:w="12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02A30"/>
                <w:sz w:val="13"/>
              </w:rPr>
              <w:t>協會依實際決議與原始資料核對；獨立審查者另做標題盲測與負向選擇測試。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rPr>
          <w:rFonts w:ascii="Microsoft JhengHei" w:hAnsi="Microsoft JhengHei" w:eastAsia="Microsoft JhengHei" w:cs="Microsoft JhengHei"/>
          <w:b/>
          <w:i w:val="0"/>
          <w:color w:val="000000"/>
          <w:sz w:val="26"/>
        </w:rPr>
        <w:t>十二、來源索引與版本界線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CFD9DF"/>
          <w:left w:val="single" w:sz="5" w:space="0" w:color="CFD9DF"/>
          <w:bottom w:val="single" w:sz="5" w:space="0" w:color="CFD9DF"/>
          <w:right w:val="single" w:sz="5" w:space="0" w:color="CFD9DF"/>
          <w:insideH w:val="single" w:sz="5" w:space="0" w:color="CFD9DF"/>
          <w:insideV w:val="single" w:sz="5" w:space="0" w:color="CFD9DF"/>
        </w:tblBorders>
      </w:tblPr>
      <w:tblGrid>
        <w:gridCol w:w="2088"/>
        <w:gridCol w:w="3600"/>
        <w:gridCol w:w="4522"/>
      </w:tblGrid>
      <w:tr>
        <w:trPr>
          <w:tblHeader w:val="true"/>
          <w:cantSplit/>
        </w:trPr>
        <w:tc>
          <w:tcPr>
            <w:tcW w:type="dxa" w:w="2088"/>
            <w:shd w:fill="203A4A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before="0" w:after="0" w:line="245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color w:val="FFFFFF"/>
                <w:sz w:val="15"/>
              </w:rPr>
              <w:t>來源</w:t>
            </w:r>
          </w:p>
        </w:tc>
        <w:tc>
          <w:tcPr>
            <w:tcW w:type="dxa" w:w="3600"/>
            <w:shd w:fill="203A4A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before="0" w:after="0" w:line="245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color w:val="FFFFFF"/>
                <w:sz w:val="15"/>
              </w:rPr>
              <w:t>定位</w:t>
            </w:r>
          </w:p>
        </w:tc>
        <w:tc>
          <w:tcPr>
            <w:tcW w:type="dxa" w:w="4522"/>
            <w:shd w:fill="203A4A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before="0" w:after="0" w:line="245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color w:val="FFFFFF"/>
                <w:sz w:val="15"/>
              </w:rPr>
              <w:t>本稿用途及界線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02A30"/>
                <w:sz w:val="15"/>
              </w:rPr>
              <w:t>官方查核佐證文件資料表</w:t>
            </w:r>
          </w:p>
        </w:tc>
        <w:tc>
          <w:tcPr>
            <w:tcW w:type="dxa" w:w="3600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02A30"/>
                <w:sz w:val="15"/>
              </w:rPr>
              <w:t>official_evidence_table.pdf｜附件46，訓練機構版，PDF p.1／9。</w:t>
            </w:r>
          </w:p>
        </w:tc>
        <w:tc>
          <w:tcPr>
            <w:tcW w:type="dxa" w:w="4522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02A30"/>
                <w:sz w:val="15"/>
              </w:rPr>
              <w:t>指標1內涵及常見佐證類型；要求直接依有效清冊原文。</w:t>
            </w:r>
          </w:p>
        </w:tc>
      </w:tr>
      <w:tr>
        <w:trPr>
          <w:cantSplit/>
        </w:trPr>
        <w:tc>
          <w:tcPr>
            <w:tcW w:type="dxa" w:w="2088"/>
            <w:shd w:fill="F7F9FA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02A30"/>
                <w:sz w:val="15"/>
              </w:rPr>
              <w:t>TTQS標準手冊</w:t>
            </w:r>
          </w:p>
        </w:tc>
        <w:tc>
          <w:tcPr>
            <w:tcW w:type="dxa" w:w="3600"/>
            <w:shd w:fill="F7F9FA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02A30"/>
                <w:sz w:val="15"/>
              </w:rPr>
              <w:t>official_standard_manual.pdf｜附件46，PDF p.116（印刷p.110）。</w:t>
            </w:r>
          </w:p>
        </w:tc>
        <w:tc>
          <w:tcPr>
            <w:tcW w:type="dxa" w:w="4522"/>
            <w:shd w:fill="F7F9FA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02A30"/>
                <w:sz w:val="15"/>
              </w:rPr>
              <w:t>訓練機構版同一佐證表之手冊位置；未將企業機構版混入。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02A30"/>
                <w:sz w:val="15"/>
              </w:rPr>
              <w:t>官方評核表</w:t>
            </w:r>
          </w:p>
        </w:tc>
        <w:tc>
          <w:tcPr>
            <w:tcW w:type="dxa" w:w="3600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02A30"/>
                <w:sz w:val="15"/>
              </w:rPr>
              <w:t>official_evaluation_form.pdf｜PDF p.5／6。</w:t>
            </w:r>
          </w:p>
        </w:tc>
        <w:tc>
          <w:tcPr>
            <w:tcW w:type="dxa" w:w="4522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02A30"/>
                <w:sz w:val="15"/>
              </w:rPr>
              <w:t>僅見計畫區指標1建議欄位；不是協會實績或評核結果。</w:t>
            </w:r>
          </w:p>
        </w:tc>
      </w:tr>
      <w:tr>
        <w:trPr>
          <w:cantSplit/>
        </w:trPr>
        <w:tc>
          <w:tcPr>
            <w:tcW w:type="dxa" w:w="2088"/>
            <w:shd w:fill="F7F9FA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02A30"/>
                <w:sz w:val="15"/>
              </w:rPr>
              <w:t>有效要求清冊</w:t>
            </w:r>
          </w:p>
        </w:tc>
        <w:tc>
          <w:tcPr>
            <w:tcW w:type="dxa" w:w="3600"/>
            <w:shd w:fill="F7F9FA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02A30"/>
                <w:sz w:val="15"/>
              </w:rPr>
              <w:t>EFFECTIVE_REQUIREMENT_REGISTER.csv｜I01-E01精確列。</w:t>
            </w:r>
          </w:p>
        </w:tc>
        <w:tc>
          <w:tcPr>
            <w:tcW w:type="dxa" w:w="4522"/>
            <w:shd w:fill="F7F9FA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02A30"/>
                <w:sz w:val="15"/>
              </w:rPr>
              <w:t>章節、專屬表圖、問題、計算口徑、真實升格欄位與禁止捏造事項。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02A30"/>
                <w:sz w:val="15"/>
              </w:rPr>
              <w:t>政策與任務資料</w:t>
            </w:r>
          </w:p>
        </w:tc>
        <w:tc>
          <w:tcPr>
            <w:tcW w:type="dxa" w:w="3600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02A30"/>
                <w:sz w:val="15"/>
              </w:rPr>
              <w:t>POLICY_CURRENT.json；MISSION.md。</w:t>
            </w:r>
          </w:p>
        </w:tc>
        <w:tc>
          <w:tcPr>
            <w:tcW w:type="dxa" w:w="4522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02A30"/>
                <w:sz w:val="15"/>
              </w:rPr>
              <w:t>QP003／QE003、可用核心資料及真實界線；不作協會已採用的證明。</w:t>
            </w:r>
          </w:p>
        </w:tc>
      </w:tr>
      <w:tr>
        <w:trPr>
          <w:cantSplit/>
        </w:trPr>
        <w:tc>
          <w:tcPr>
            <w:tcW w:type="dxa" w:w="2088"/>
            <w:shd w:fill="F7F9FA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02A30"/>
                <w:sz w:val="15"/>
              </w:rPr>
              <w:t>來源更正與品質規則</w:t>
            </w:r>
          </w:p>
        </w:tc>
        <w:tc>
          <w:tcPr>
            <w:tcW w:type="dxa" w:w="3600"/>
            <w:shd w:fill="F7F9FA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02A30"/>
                <w:sz w:val="15"/>
              </w:rPr>
              <w:t>SOURCE_CORRECTIONS.csv；QPR4-v3版面規則；R4 regression checklist。</w:t>
            </w:r>
          </w:p>
        </w:tc>
        <w:tc>
          <w:tcPr>
            <w:tcW w:type="dxa" w:w="4522"/>
            <w:shd w:fill="F7F9FA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02A30"/>
                <w:sz w:val="15"/>
              </w:rPr>
              <w:t>未發現I01-E01直接更正列；其餘僅作建置與版面治理規則。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rPr>
          <w:rFonts w:ascii="Microsoft JhengHei" w:hAnsi="Microsoft JhengHei" w:eastAsia="Microsoft JhengHei" w:cs="Microsoft JhengHei"/>
          <w:b/>
          <w:i w:val="0"/>
          <w:color w:val="000000"/>
          <w:sz w:val="26"/>
        </w:rPr>
        <w:t>十三、核定與REAL升格檢核</w:t>
      </w:r>
    </w:p>
    <w:p>
      <w:pPr>
        <w:spacing w:after="80" w:line="252" w:lineRule="auto"/>
      </w:pPr>
      <w:r>
        <w:rPr>
          <w:rFonts w:ascii="Microsoft JhengHei" w:hAnsi="Microsoft JhengHei" w:eastAsia="Microsoft JhengHei" w:cs="Microsoft JhengHei"/>
          <w:b w:val="0"/>
          <w:i w:val="0"/>
          <w:color w:val="9B2C2C"/>
          <w:sz w:val="17"/>
        </w:rPr>
        <w:t>完成下列核實後，才可由授權人員決定是否升格為正式版本。空白不代表通過；本稿不含任何簽核或採用狀態。</w:t>
      </w:r>
    </w:p>
    <w:p>
      <w:pPr>
        <w:pStyle w:val="ListBullet"/>
        <w:spacing w:after="40" w:line="245" w:lineRule="auto"/>
        <w:ind w:left="274" w:hanging="173"/>
      </w:pPr>
      <w:r>
        <w:rPr>
          <w:rFonts w:ascii="Microsoft JhengHei" w:hAnsi="Microsoft JhengHei" w:eastAsia="Microsoft JhengHei" w:cs="Microsoft JhengHei"/>
          <w:b w:val="0"/>
          <w:i w:val="0"/>
          <w:color w:val="202A30"/>
          <w:sz w:val="17"/>
        </w:rPr>
        <w:t>[ ] 協會確認策略起始日期、三年期程及決策程序。</w:t>
      </w:r>
    </w:p>
    <w:p>
      <w:pPr>
        <w:pStyle w:val="ListBullet"/>
        <w:spacing w:after="40" w:line="245" w:lineRule="auto"/>
        <w:ind w:left="274" w:hanging="173"/>
      </w:pPr>
      <w:r>
        <w:rPr>
          <w:rFonts w:ascii="Microsoft JhengHei" w:hAnsi="Microsoft JhengHei" w:eastAsia="Microsoft JhengHei" w:cs="Microsoft JhengHei"/>
          <w:b w:val="0"/>
          <w:i w:val="0"/>
          <w:color w:val="202A30"/>
          <w:sz w:val="17"/>
        </w:rPr>
        <w:t>[ ] 依實際需求資料選定目標客群，並保存調查方法、原始紀錄、分析與證據位置。</w:t>
      </w:r>
    </w:p>
    <w:p>
      <w:pPr>
        <w:pStyle w:val="ListBullet"/>
        <w:spacing w:after="40" w:line="245" w:lineRule="auto"/>
        <w:ind w:left="274" w:hanging="173"/>
      </w:pPr>
      <w:r>
        <w:rPr>
          <w:rFonts w:ascii="Microsoft JhengHei" w:hAnsi="Microsoft JhengHei" w:eastAsia="Microsoft JhengHei" w:cs="Microsoft JhengHei"/>
          <w:b w:val="0"/>
          <w:i w:val="0"/>
          <w:color w:val="202A30"/>
          <w:sz w:val="17"/>
        </w:rPr>
        <w:t>[ ] 決議課程主軸、實際課名、學習目標、教學內容、師資／教材及適用邊界；逐項完成法規與品質覆核。</w:t>
      </w:r>
    </w:p>
    <w:p>
      <w:pPr>
        <w:pStyle w:val="ListBullet"/>
        <w:spacing w:after="40" w:line="245" w:lineRule="auto"/>
        <w:ind w:left="274" w:hanging="173"/>
      </w:pPr>
      <w:r>
        <w:rPr>
          <w:rFonts w:ascii="Microsoft JhengHei" w:hAnsi="Microsoft JhengHei" w:eastAsia="Microsoft JhengHei" w:cs="Microsoft JhengHei"/>
          <w:b w:val="0"/>
          <w:i w:val="0"/>
          <w:color w:val="202A30"/>
          <w:sz w:val="17"/>
        </w:rPr>
        <w:t>[ ] 由協會核定每項KPI的口徑、基準、目標、資料來源、責任人、頻率及缺值規則。</w:t>
      </w:r>
    </w:p>
    <w:p>
      <w:pPr>
        <w:pStyle w:val="ListBullet"/>
        <w:spacing w:after="40" w:line="245" w:lineRule="auto"/>
        <w:ind w:left="274" w:hanging="173"/>
      </w:pPr>
      <w:r>
        <w:rPr>
          <w:rFonts w:ascii="Microsoft JhengHei" w:hAnsi="Microsoft JhengHei" w:eastAsia="Microsoft JhengHei" w:cs="Microsoft JhengHei"/>
          <w:b w:val="0"/>
          <w:i w:val="0"/>
          <w:color w:val="202A30"/>
          <w:sz w:val="17"/>
        </w:rPr>
        <w:t>[ ] 核實人力、時間、場地、設備、預算及其他營運資源；任何數字須對應真實紀錄。</w:t>
      </w:r>
    </w:p>
    <w:p>
      <w:pPr>
        <w:pStyle w:val="ListBullet"/>
        <w:spacing w:after="40" w:line="245" w:lineRule="auto"/>
        <w:ind w:left="274" w:hanging="173"/>
      </w:pPr>
      <w:r>
        <w:rPr>
          <w:rFonts w:ascii="Microsoft JhengHei" w:hAnsi="Microsoft JhengHei" w:eastAsia="Microsoft JhengHei" w:cs="Microsoft JhengHei"/>
          <w:b w:val="0"/>
          <w:i w:val="0"/>
          <w:color w:val="202A30"/>
          <w:sz w:val="17"/>
        </w:rPr>
        <w:t>[ ] 填入真實負責人／角色、核定日期、核准內容及簽章；只記載實際發生的核定。</w:t>
      </w:r>
    </w:p>
    <w:p>
      <w:pPr>
        <w:pStyle w:val="ListBullet"/>
        <w:spacing w:after="40" w:line="245" w:lineRule="auto"/>
        <w:ind w:left="274" w:hanging="173"/>
      </w:pPr>
      <w:r>
        <w:rPr>
          <w:rFonts w:ascii="Microsoft JhengHei" w:hAnsi="Microsoft JhengHei" w:eastAsia="Microsoft JhengHei" w:cs="Microsoft JhengHei"/>
          <w:b w:val="0"/>
          <w:i w:val="0"/>
          <w:color w:val="202A30"/>
          <w:sz w:val="17"/>
        </w:rPr>
        <w:t>[ ] 把正式主張連到可取得的原始證據與檔案位置；刪除未能證實的候選敘述。</w:t>
      </w:r>
    </w:p>
    <w:p>
      <w:pPr>
        <w:pStyle w:val="ListBullet"/>
        <w:spacing w:after="40" w:line="245" w:lineRule="auto"/>
        <w:ind w:left="274" w:hanging="173"/>
      </w:pPr>
      <w:r>
        <w:rPr>
          <w:rFonts w:ascii="Microsoft JhengHei" w:hAnsi="Microsoft JhengHei" w:eastAsia="Microsoft JhengHei" w:cs="Microsoft JhengHei"/>
          <w:b w:val="0"/>
          <w:i w:val="0"/>
          <w:color w:val="202A30"/>
          <w:sz w:val="17"/>
        </w:rPr>
        <w:t>[ ] 獨立讀者完成標題盲測及負向選擇測試並留存證據；Builder自評不作為測試結果。</w:t>
      </w:r>
    </w:p>
    <w:p>
      <w:pPr>
        <w:pStyle w:val="ListBullet"/>
        <w:spacing w:after="40" w:line="245" w:lineRule="auto"/>
        <w:ind w:left="274" w:hanging="173"/>
      </w:pPr>
      <w:r>
        <w:rPr>
          <w:rFonts w:ascii="Microsoft JhengHei" w:hAnsi="Microsoft JhengHei" w:eastAsia="Microsoft JhengHei" w:cs="Microsoft JhengHei"/>
          <w:b w:val="0"/>
          <w:i w:val="0"/>
          <w:color w:val="202A30"/>
          <w:sz w:val="17"/>
        </w:rPr>
        <w:t>[ ] 重新檢查替換登錄表，逐項以真實來源替換或刪除提案；確認沒有把提案轉成既成事實。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CFD9DF"/>
          <w:left w:val="single" w:sz="5" w:space="0" w:color="CFD9DF"/>
          <w:bottom w:val="single" w:sz="5" w:space="0" w:color="CFD9DF"/>
          <w:right w:val="single" w:sz="5" w:space="0" w:color="CFD9DF"/>
          <w:insideH w:val="single" w:sz="5" w:space="0" w:color="CFD9DF"/>
          <w:insideV w:val="single" w:sz="5" w:space="0" w:color="CFD9DF"/>
        </w:tblBorders>
      </w:tblPr>
      <w:tblGrid>
        <w:gridCol w:w="3672"/>
        <w:gridCol w:w="6538"/>
      </w:tblGrid>
      <w:tr>
        <w:trPr>
          <w:tblHeader w:val="true"/>
          <w:cantSplit/>
        </w:trPr>
        <w:tc>
          <w:tcPr>
            <w:tcW w:type="dxa" w:w="3672"/>
            <w:shd w:fill="1F6B70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before="0" w:after="0" w:line="245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color w:val="FFFFFF"/>
                <w:sz w:val="16"/>
              </w:rPr>
              <w:t>待協會決議／填實績欄位</w:t>
            </w:r>
          </w:p>
        </w:tc>
        <w:tc>
          <w:tcPr>
            <w:tcW w:type="dxa" w:w="6538"/>
            <w:shd w:fill="1F6B70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before="0" w:after="0" w:line="245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color w:val="FFFFFF"/>
                <w:sz w:val="16"/>
              </w:rPr>
              <w:t>內容</w:t>
            </w:r>
          </w:p>
        </w:tc>
      </w:tr>
      <w:tr>
        <w:trPr>
          <w:cantSplit/>
        </w:trPr>
        <w:tc>
          <w:tcPr>
            <w:tcW w:type="dxa" w:w="3672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02A30"/>
                <w:sz w:val="16"/>
              </w:rPr>
              <w:t>策略核定日期／起始日</w:t>
            </w:r>
          </w:p>
        </w:tc>
        <w:tc>
          <w:tcPr>
            <w:tcW w:type="dxa" w:w="653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02A30"/>
                <w:sz w:val="16"/>
              </w:rPr>
              <w:t>待協會決議</w:t>
            </w:r>
          </w:p>
        </w:tc>
      </w:tr>
      <w:tr>
        <w:trPr>
          <w:cantSplit/>
        </w:trPr>
        <w:tc>
          <w:tcPr>
            <w:tcW w:type="dxa" w:w="3672"/>
            <w:shd w:fill="F7F9FA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02A30"/>
                <w:sz w:val="16"/>
              </w:rPr>
              <w:t>核定者／真實責任角色</w:t>
            </w:r>
          </w:p>
        </w:tc>
        <w:tc>
          <w:tcPr>
            <w:tcW w:type="dxa" w:w="6538"/>
            <w:shd w:fill="F7F9FA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02A30"/>
                <w:sz w:val="16"/>
              </w:rPr>
              <w:t>待填實際姓名與職責</w:t>
            </w:r>
          </w:p>
        </w:tc>
      </w:tr>
      <w:tr>
        <w:trPr>
          <w:cantSplit/>
        </w:trPr>
        <w:tc>
          <w:tcPr>
            <w:tcW w:type="dxa" w:w="3672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02A30"/>
                <w:sz w:val="16"/>
              </w:rPr>
              <w:t>核定內容／版本</w:t>
            </w:r>
          </w:p>
        </w:tc>
        <w:tc>
          <w:tcPr>
            <w:tcW w:type="dxa" w:w="653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02A30"/>
                <w:sz w:val="16"/>
              </w:rPr>
              <w:t>待協會決議</w:t>
            </w:r>
          </w:p>
        </w:tc>
      </w:tr>
      <w:tr>
        <w:trPr>
          <w:cantSplit/>
        </w:trPr>
        <w:tc>
          <w:tcPr>
            <w:tcW w:type="dxa" w:w="3672"/>
            <w:shd w:fill="F7F9FA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02A30"/>
                <w:sz w:val="16"/>
              </w:rPr>
              <w:t>實績、基準、目標及來源位置</w:t>
            </w:r>
          </w:p>
        </w:tc>
        <w:tc>
          <w:tcPr>
            <w:tcW w:type="dxa" w:w="6538"/>
            <w:shd w:fill="F7F9FA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02A30"/>
                <w:sz w:val="16"/>
              </w:rPr>
              <w:t>待填實績／待協會決議</w:t>
            </w:r>
          </w:p>
        </w:tc>
      </w:tr>
      <w:tr>
        <w:trPr>
          <w:cantSplit/>
        </w:trPr>
        <w:tc>
          <w:tcPr>
            <w:tcW w:type="dxa" w:w="3672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02A30"/>
                <w:sz w:val="16"/>
              </w:rPr>
              <w:t>簽章及附件位置</w:t>
            </w:r>
          </w:p>
        </w:tc>
        <w:tc>
          <w:tcPr>
            <w:tcW w:type="dxa" w:w="653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02A30"/>
                <w:sz w:val="16"/>
              </w:rPr>
              <w:t>待實際核定後填寫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2" w:space="0" w:color="FFF6E3"/>
          <w:left w:val="single" w:sz="2" w:space="0" w:color="FFF6E3"/>
          <w:bottom w:val="single" w:sz="2" w:space="0" w:color="FFF6E3"/>
          <w:right w:val="single" w:sz="2" w:space="0" w:color="FFF6E3"/>
          <w:insideH w:val="single" w:sz="2" w:space="0" w:color="FFF6E3"/>
          <w:insideV w:val="single" w:sz="2" w:space="0" w:color="FFF6E3"/>
        </w:tblBorders>
      </w:tblPr>
      <w:tblGrid>
        <w:gridCol w:w="10195"/>
      </w:tblGrid>
      <w:tr>
        <w:tc>
          <w:tcPr>
            <w:tcW w:type="dxa" w:w="10195"/>
            <w:shd w:fill="FFF6E3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color w:val="203A4A"/>
                <w:sz w:val="17"/>
              </w:rPr>
              <w:t>版本用途：HUMAN_DECISION_DRAFT；QP003／QE003；本稿為可編輯決策草案。未經協會實際核定、簽章及證據核實，不得表示為已採用或正式績效。</w:t>
            </w:r>
          </w:p>
        </w:tc>
      </w:tr>
    </w:tbl>
    <w:p>
      <w:pPr>
        <w:spacing w:after="20"/>
      </w:pPr>
    </w:p>
    <w:sectPr w:rsidR="00FC693F" w:rsidRPr="0006063C" w:rsidSect="00034616">
      <w:pgSz w:w="11906" w:h="16838"/>
      <w:pgMar w:top="794" w:right="794" w:bottom="794" w:left="79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2" w:lineRule="auto"/>
    </w:pPr>
    <w:rPr>
      <w:rFonts w:ascii="Microsoft JhengHei" w:hAnsi="Microsoft JhengHei" w:eastAsia="Microsoft JhengHei" w:cs="Microsoft JhengHei"/>
      <w:b w:val="0"/>
      <w:color w:val="202A30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80" w:after="80"/>
      <w:outlineLvl w:val="0"/>
    </w:pPr>
    <w:rPr>
      <w:rFonts w:asciiTheme="majorHAnsi" w:eastAsiaTheme="majorEastAsia" w:hAnsiTheme="majorHAnsi" w:cstheme="majorBidi" w:ascii="Microsoft JhengHei" w:hAnsi="Microsoft JhengHei" w:eastAsia="Microsoft JhengHei" w:cs="Microsoft JhengHei"/>
      <w:b/>
      <w:bCs/>
      <w:color w:val="000000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20" w:after="60"/>
      <w:outlineLvl w:val="1"/>
    </w:pPr>
    <w:rPr>
      <w:rFonts w:asciiTheme="majorHAnsi" w:eastAsiaTheme="majorEastAsia" w:hAnsiTheme="majorHAnsi" w:cstheme="majorBidi" w:ascii="Microsoft JhengHei" w:hAnsi="Microsoft JhengHei" w:eastAsia="Microsoft JhengHei" w:cs="Microsoft JhengHei"/>
      <w:b/>
      <w:bCs/>
      <w:color w:val="000000"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20" w:line="240" w:lineRule="auto"/>
      <w:contextualSpacing/>
    </w:pPr>
    <w:rPr>
      <w:rFonts w:asciiTheme="majorHAnsi" w:eastAsiaTheme="majorEastAsia" w:hAnsiTheme="majorHAnsi" w:cstheme="majorBidi" w:ascii="Microsoft JhengHei" w:hAnsi="Microsoft JhengHei" w:eastAsia="Microsoft JhengHei" w:cs="Microsoft JhengHei"/>
      <w:b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Microsoft JhengHei" w:hAnsi="Microsoft JhengHei" w:eastAsia="Microsoft JhengHei" w:cs="Microsoft JhengHei"/>
      <w:b w:val="0"/>
      <w:i/>
      <w:iCs/>
      <w:color w:val="000000"/>
      <w:spacing w:val="15"/>
      <w:sz w:val="20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Microsoft JhengHei" w:hAnsi="Microsoft JhengHei" w:eastAsia="Microsoft JhengHei" w:cs="Microsoft JhengHei"/>
      <w:b w:val="0"/>
      <w:color w:val="202A30"/>
      <w:sz w:val="17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中長程業務發展策略地圖</dc:title>
  <dc:subject>I01-E01 | HUMAN_DECISION_DRAFT | QP003 | QE003</dc:subject>
  <dc:creator/>
  <cp:keywords>I01-E01, QP003, QE003, HUMAN_DECISION_DRAFT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