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 w:eastAsia="Microsoft JhengHei"/>
          <w:b/>
          <w:color w:val="17365D"/>
          <w:sz w:val="40"/>
        </w:rPr>
        <w:t>目標市場需求分析報告</w:t>
      </w:r>
    </w:p>
    <w:p>
      <w:pPr>
        <w:keepNext/>
        <w:spacing w:after="100"/>
      </w:pPr>
      <w:r>
        <w:rPr>
          <w:rFonts w:ascii="Aptos" w:hAnsi="Aptos" w:eastAsia="Microsoft JhengHei"/>
          <w:b/>
          <w:color w:val="6B7A8A"/>
          <w:sz w:val="20"/>
        </w:rPr>
        <w:t>I01-E02｜目標市場需求調查之擬真示範分析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0091"/>
      </w:tblGrid>
      <w:tr>
        <w:tc>
          <w:tcPr>
            <w:tcW w:type="dxa" w:w="10091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JhengHei"/>
                <w:b/>
                <w:color w:val="9C5700"/>
                <w:sz w:val="20"/>
              </w:rPr>
              <w:t>擬真示範分析｜非協會實際調查或成果</w:t>
            </w:r>
          </w:p>
        </w:tc>
      </w:tr>
    </w:tbl>
    <w:p>
      <w:pPr>
        <w:widowControl/>
      </w:pPr>
      <w:r>
        <w:rPr>
          <w:rFonts w:ascii="Aptos" w:hAnsi="Aptos" w:eastAsia="Microsoft JhengHei"/>
          <w:color w:val="24364B"/>
          <w:sz w:val="18"/>
        </w:rPr>
        <w:t>本資料為系統一致性示範資料，純屬擬真、非協會實際市場調查、非實際回覆、非實際決策；不得作為已執行或成效證據。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本示範依資料集提供的有效作答，計算構面重要度、現有學習機會與描述性差距；依資料集限定的示範門檻，優先矩陣列示兩項構面。以下僅供日後人員審閱分析口徑，不代表協會、目標市場或已作成課程決議。</w:t>
      </w:r>
    </w:p>
    <w:p>
      <w:pPr>
        <w:pStyle w:val="Heading1"/>
      </w:pPr>
      <w:r>
        <w:t>目的與分析方法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本報告直接回應 I01-E02「目標市場需求調查。」並示範如何把需求題目、回收概況、構面評分與偏好統計連到後續課程規劃檢視。數值唯一來源為指定模擬資料集；官方資料僅用於核對要求及佐證脈絡。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評分構面使用 1–5 分。需求平均為有效重要度評分加總除以有效作答數；高需求比例為重要度 4 或 5 分人數除以有效作答數；描述性缺口為重要度平均減現有機會平均。多選題只報選取次數；偏好及費用區間只報模擬分類人數。</w:t>
      </w:r>
    </w:p>
    <w:p>
      <w:pPr>
        <w:pStyle w:val="Heading1"/>
      </w:pPr>
      <w:r>
        <w:t>樣本範圍與限制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例沒有真實母體、抽樣框、招募管道或調查日期；邀請與回收數均為擬真計數，不構成抽樣代表性。資料集不含個人層級資料，也沒有實際受訪者、引述、班次、核准或協會營運資訊。有效作答按資料集所列數計算；實際調查仍須先定義缺漏值與排除規則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表｜示範樣本與回收率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757"/>
        <w:gridCol w:w="1191"/>
        <w:gridCol w:w="7143"/>
      </w:tblGrid>
      <w:tr>
        <w:trPr>
          <w:tblHeader w:val="true"/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擬真數值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計算口徑／界線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邀請數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12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擬真計數；非實際邀請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回收數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回收率＝回收／邀請＝10/12＝83.3%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擬真有效作答數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有效回收率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100%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有效／回收＝10/10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D9EA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4364B"/>
                <w:sz w:val="17"/>
              </w:rPr>
              <w:t>分群結果</w:t>
            </w:r>
          </w:p>
        </w:tc>
        <w:tc>
          <w:tcPr>
            <w:tcW w:type="dxa" w:w="1191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不提供</w:t>
            </w:r>
          </w:p>
        </w:tc>
        <w:tc>
          <w:tcPr>
            <w:tcW w:type="dxa" w:w="7143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資料集無個人層級及人口／身份欄位；不作分群推論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有效作答結果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構面結果由資料集內的逐筆分數重算；括號列示總分與分母，以供算術核對。高需求比例以 4 或 5 分計算，缺口僅為本例描述值。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表｜需求構面重要度、現有機會與差距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91"/>
        <w:gridCol w:w="1814"/>
        <w:gridCol w:w="1587"/>
        <w:gridCol w:w="2324"/>
        <w:gridCol w:w="907"/>
      </w:tblGrid>
      <w:tr>
        <w:trPr>
          <w:tblHeader w:val="true"/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構面（沿用資料集原名）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重要度平均（總分／n）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4–5 分（人數／比例）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現有機會平均（總分／n）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缺口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健康資訊辨識與健康教育基礎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3.6（36/10）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6/10；60%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2.4（24/10）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日常活動與身體使用安全常識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4.0（40/10）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7/10；70%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傳統整復推拿相關技術之教育性入門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3.4（34/10）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5/10；50%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3.0（30/10）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服務溝通、倫理與顧客權益資訊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3.2（32/10）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4/10；40%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</w:tbl>
    <w:p>
      <w:pPr>
        <w:spacing w:before="0" w:after="20" w:line="168" w:lineRule="auto"/>
      </w:pP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表｜需求主題多選次數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7937"/>
        <w:gridCol w:w="1587"/>
      </w:tblGrid>
      <w:tr>
        <w:trPr>
          <w:tblHeader w:val="true"/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需求主題（資料集原名）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選取次數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健康資訊辨識與健康教育基礎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日常活動與身體使用安全常識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傳統整復推拿相關技術之教育性入門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服務溝通、倫理與顧客權益資訊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5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多選最多選 3 項；本表為 10 份擬真有效作答的選取次數，不是市場比例。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表｜課程偏好分類人數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14"/>
        <w:gridCol w:w="6236"/>
        <w:gridCol w:w="1474"/>
      </w:tblGrid>
      <w:tr>
        <w:trPr>
          <w:tblHeader w:val="true"/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偏好欄位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選項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擬真人數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平日晚上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週末上午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週末下午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彈性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2小時內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2至3小時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半日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全日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多次分段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面對面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即時線上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自主數位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混合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無偏好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每個偏好欄位依資料集各有 10 份分類回答；不得解讀為實際報名、可開班時段或課程規格。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表｜參訓障礙與虛構費用回答區間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35"/>
        <w:gridCol w:w="1191"/>
        <w:gridCol w:w="4309"/>
        <w:gridCol w:w="1191"/>
      </w:tblGrid>
      <w:tr>
        <w:trPr>
          <w:tblHeader w:val="true"/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障礙類別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選取次數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費用回答選項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模擬人數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時間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免費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交通或地點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新臺幣1至500元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費用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新臺幣501至1000元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內容或程度不合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新臺幣1001至2000元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工作或家庭安排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新臺幣2001元以上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設備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需先了解課程規格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其他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多選合計（10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18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費用分類合計（10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10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障礙題為多選（10 份、18 次選取）。費用欄只呈現虛構答案區間分布，不是價格、行情、報價或支付意願結果。</w:t>
      </w:r>
    </w:p>
    <w:p>
      <w:pPr>
        <w:pStyle w:val="Heading1"/>
      </w:pPr>
      <w:r>
        <w:t>分群與需求優先矩陣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資料集未提供個人層級或人口／身份欄位，因此不作人口或身份分群，也不以偏好分類冒充受訪者分群。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下表只依資料集的示範規則判讀：重要度平均 ≥ 3.5 且缺口 ≥ 1.0 才列為「示範優先」。這不是協會核定的決策門檻，矩陣判讀須待人員覆核。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表｜重要度 × 缺口示範優先矩陣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110"/>
        <w:gridCol w:w="4110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缺口高（≥ 1.0）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缺口未達（&lt; 1.0）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重要度高（≥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健康資訊辨識與健康教育基礎</w:t>
              <w:br/>
              <w:t>日常活動與身體使用安全常識</w:t>
              <w:br/>
              <w:t>示範優先；待人員審閱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重要度未達（&lt;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傳統整復推拿相關技術之教育性入門</w:t>
              <w:br/>
              <w:t>服務溝通、倫理與顧客權益資訊</w:t>
              <w:br/>
              <w:t>示範未達雙條件；待驗證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供日後人員審閱的規劃含意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條件式提案：若真實調查獨立重現矩陣排序，再檢視「健康資訊辨識與健康教育基礎」及「日常活動與身體使用安全常識」的教學可行性；本示範不核定課程、班次、師資、時程或費用。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課程界線：健康教育及傳統整復推拿技術入門均維持非醫療、教育性定位；不據此提出診斷、治療效能或醫療結果主張。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偏好及費用：時段、時數、方式、障礙及虛構費用區間分布僅供後續問卷檢核；不得直接形成招生、定價或開班決策。</w:t>
      </w:r>
    </w:p>
    <w:p>
      <w:pPr>
        <w:pStyle w:val="Heading1"/>
      </w:pPr>
      <w:r>
        <w:t>真實資料驗證步驟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先界定目標母體、地區、納入條件、抽樣框及招募方式，並確認資料蒐集與告知方式。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由人員核定題目、量尺、缺漏值及無效表單處理規則；保留可追溯但去識別化的原始資料與調查日期、管道和附件位置。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以真實資料重算有效回收率、題項統計、構面平均與缺口；僅在樣本足夠、隱私安全且有合理解釋時進行分群。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審查示範門檻是否適用，再由人員結合資源、法規及品質條件提出課程決定；核准、簽章、實際班次與費用均另以真實證據核實。</w:t>
      </w:r>
    </w:p>
    <w:p>
      <w:pPr>
        <w:pStyle w:val="Heading1"/>
      </w:pPr>
      <w:r>
        <w:t>證據索引與 I01-E02 追溯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表｜證據索引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082"/>
        <w:gridCol w:w="4139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來源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定位／用途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報告對應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官方查核佐證文件資料表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p.1；指標 1 方框文字為「目標市場需求調查。」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官方要求定位；本報告表格位置見追溯表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官方評核表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 指標 1、2；pp.2–3 指標 7 等相關脈絡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用於確認市場需求與後續訓練規劃的關聯，不作本例數據來源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官方標準手冊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pp.92、109、116–117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需求調查、結果分析與訓練規劃之脈絡；不提供本例數值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模擬資料集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scenario_id SYN-I01E02-QE003-20260925-01；唯一數字來源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樣本表、構面結果、偏好分類與示範矩陣</w:t>
            </w:r>
          </w:p>
        </w:tc>
      </w:tr>
    </w:tbl>
    <w:p>
      <w:pPr>
        <w:spacing w:before="0" w:after="20" w:line="168" w:lineRule="auto"/>
      </w:pP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表｜I01-E02 專屬要求追溯表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134"/>
        <w:gridCol w:w="1587"/>
        <w:gridCol w:w="1871"/>
        <w:gridCol w:w="2041"/>
        <w:gridCol w:w="1701"/>
        <w:gridCol w:w="1757"/>
      </w:tblGrid>
      <w:tr>
        <w:trPr>
          <w:tblHeader w:val="true"/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結果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4"/>
              </w:rPr>
              <w:t>目標市場需求調查。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官方佐證資料表 PDF p.1；模擬資料集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有效樣本；重要度、現有機會、比例、缺口及偏好統計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本例計得樣本率及四構面結果；兩項落在資料集示範優先象限，均非實況或已核定決策。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樣本與回收表；構面結果表；重要度 × 缺口矩陣；證據索引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待人員覆核；真實調查日期、去識別化原始資料及檔案位置待補；不得升格 REAL。</w:t>
            </w:r>
          </w:p>
        </w:tc>
      </w:tr>
    </w:tbl>
    <w:p>
      <w:pPr>
        <w:spacing w:before="0" w:after="20" w:line="168" w:lineRule="auto"/>
      </w:pPr>
    </w:p>
    <w:sectPr w:rsidR="00FC693F" w:rsidRPr="0006063C" w:rsidSect="00034616">
      <w:pgSz w:w="11906" w:h="16838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Aptos" w:hAnsi="Aptos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5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5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0"/>
      <w:contextualSpacing/>
    </w:pPr>
    <w:rPr>
      <w:rFonts w:asciiTheme="majorHAnsi" w:eastAsiaTheme="majorEastAsia" w:hAnsiTheme="majorHAnsi" w:cstheme="majorBidi" w:ascii="Aptos" w:hAnsi="Aptos" w:eastAsia="Microsoft Jheng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目標市場需求分析報告</dc:title>
  <dc:subject>I01-E02 擬真示範分析；非協會實際調查或成果</dc:subject>
  <dc:creator/>
  <cp:keywords/>
  <dc:description>SYNTHETIC_COMPLETE_DRAFT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