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 w:after="160"/>
        <w:jc w:val="center"/>
      </w:pPr>
      <w:r>
        <w:rPr>
          <w:rFonts w:ascii="Microsoft JhengHei" w:hAnsi="Microsoft JhengHei" w:eastAsia="Microsoft JhengHei"/>
          <w:b/>
          <w:color w:val="173B57"/>
          <w:sz w:val="50"/>
        </w:rPr>
        <w:t>訓練資源採購與甄選管理辦法</w:t>
      </w:r>
    </w:p>
    <w:p>
      <w:pPr>
        <w:spacing w:after="440"/>
        <w:jc w:val="center"/>
      </w:pPr>
      <w:r>
        <w:rPr>
          <w:rFonts w:ascii="Microsoft JhengHei" w:hAnsi="Microsoft JhengHei" w:eastAsia="Microsoft JhengHei"/>
          <w:color w:val="4B6376"/>
          <w:sz w:val="25"/>
        </w:rPr>
        <w:t>I10-E01｜程序文件與可填紀錄表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6DF"/>
          <w:left w:val="single" w:sz="6" w:space="0" w:color="CBD6DF"/>
          <w:bottom w:val="single" w:sz="6" w:space="0" w:color="CBD6DF"/>
          <w:right w:val="single" w:sz="6" w:space="0" w:color="CBD6DF"/>
          <w:insideH w:val="single" w:sz="6" w:space="0" w:color="CBD6DF"/>
          <w:insideV w:val="single" w:sz="6" w:space="0" w:color="CBD6DF"/>
        </w:tblBorders>
      </w:tblPr>
      <w:tblGrid>
        <w:gridCol w:w="9866"/>
      </w:tblGrid>
      <w:tr>
        <w:tc>
          <w:tcPr>
            <w:tcW w:type="dxa" w:w="9694"/>
            <w:shd w:fill="FBEFD9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73B57"/>
                <w:sz w:val="19"/>
              </w:rPr>
              <w:t xml:space="preserve">文件狀態　</w:t>
            </w:r>
            <w:r>
              <w:rPr>
                <w:rFonts w:ascii="Microsoft JhengHei" w:hAnsi="Microsoft JhengHei" w:eastAsia="Microsoft JhengHei"/>
                <w:color w:val="283441"/>
                <w:sz w:val="19"/>
              </w:rPr>
              <w:t>提案草案 0.1｜未經協會正式核定，尚未生效；不得據此推定任何人具有採購、核准、簽約或付款權限。</w:t>
            </w:r>
          </w:p>
        </w:tc>
      </w:tr>
    </w:tbl>
    <w:p>
      <w:pPr>
        <w:spacing w:after="20"/>
      </w:pPr>
    </w:p>
    <w:p>
      <w:pPr>
        <w:keepLines w:val="0"/>
        <w:spacing w:before="160" w:after="60" w:line="271" w:lineRule="auto"/>
        <w:jc w:val="center"/>
      </w:pPr>
      <w:r>
        <w:rPr>
          <w:rFonts w:ascii="Microsoft JhengHei" w:hAnsi="Microsoft JhengHei" w:eastAsia="Microsoft JhengHei"/>
          <w:b/>
          <w:sz w:val="26"/>
        </w:rPr>
        <w:t>社團法人屏東縣原始點關懷協會</w:t>
      </w:r>
      <w:r>
        <w:rPr>
          <w:rFonts w:ascii="Microsoft JhengHei" w:hAnsi="Microsoft JhengHei" w:eastAsia="Microsoft JhengHei"/>
          <w:sz w:val="26"/>
        </w:rPr>
      </w:r>
    </w:p>
    <w:p>
      <w:pPr>
        <w:keepLines w:val="0"/>
        <w:spacing w:before="0" w:after="360" w:line="271" w:lineRule="auto"/>
        <w:jc w:val="center"/>
      </w:pPr>
      <w:r>
        <w:rPr>
          <w:rFonts w:ascii="Microsoft JhengHei" w:hAnsi="Microsoft JhengHei" w:eastAsia="Microsoft JhengHei"/>
          <w:sz w:val="20"/>
        </w:rPr>
        <w:t>健康教育及傳統整復推拿技術為核心；可依市場需求、資源、法規及品質條件發展多元課程。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8C5D1"/>
          <w:left w:val="single" w:sz="5" w:space="0" w:color="B8C5D1"/>
          <w:bottom w:val="single" w:sz="5" w:space="0" w:color="B8C5D1"/>
          <w:right w:val="single" w:sz="5" w:space="0" w:color="B8C5D1"/>
          <w:insideH w:val="single" w:sz="5" w:space="0" w:color="B8C5D1"/>
          <w:insideV w:val="single" w:sz="5" w:space="0" w:color="B8C5D1"/>
        </w:tblBorders>
      </w:tblPr>
      <w:tblGrid>
        <w:gridCol w:w="1531"/>
        <w:gridCol w:w="3231"/>
        <w:gridCol w:w="1531"/>
        <w:gridCol w:w="3231"/>
      </w:tblGrid>
      <w:tr>
        <w:trPr>
          <w:tblHeader w:val="true"/>
          <w:cantSplit/>
        </w:trPr>
        <w:tc>
          <w:tcPr>
            <w:tcW w:type="dxa" w:w="153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B57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文件欄位</w:t>
            </w:r>
          </w:p>
        </w:tc>
        <w:tc>
          <w:tcPr>
            <w:tcW w:type="dxa" w:w="323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B57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內容</w:t>
            </w:r>
          </w:p>
        </w:tc>
        <w:tc>
          <w:tcPr>
            <w:tcW w:type="dxa" w:w="153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B57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文件欄位</w:t>
            </w:r>
          </w:p>
        </w:tc>
        <w:tc>
          <w:tcPr>
            <w:tcW w:type="dxa" w:w="323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B57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內容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8"/>
              </w:rPr>
              <w:t>識別</w:t>
            </w:r>
          </w:p>
        </w:tc>
        <w:tc>
          <w:tcPr>
            <w:tcW w:type="dxa" w:w="323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8"/>
              </w:rPr>
              <w:t>I10-E01；正式文件代碼待核定</w:t>
            </w:r>
          </w:p>
        </w:tc>
        <w:tc>
          <w:tcPr>
            <w:tcW w:type="dxa" w:w="153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8"/>
              </w:rPr>
              <w:t>版本／日期</w:t>
            </w:r>
          </w:p>
        </w:tc>
        <w:tc>
          <w:tcPr>
            <w:tcW w:type="dxa" w:w="323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8"/>
              </w:rPr>
              <w:t>提案草案 0.1／2026-09-25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8"/>
              </w:rPr>
              <w:t>核定狀態</w:t>
            </w:r>
          </w:p>
        </w:tc>
        <w:tc>
          <w:tcPr>
            <w:tcW w:type="dxa" w:w="323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8"/>
              </w:rPr>
              <w:t>未核定、未生效</w:t>
            </w:r>
          </w:p>
        </w:tc>
        <w:tc>
          <w:tcPr>
            <w:tcW w:type="dxa" w:w="153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8"/>
              </w:rPr>
              <w:t>核准者／依據</w:t>
            </w:r>
          </w:p>
        </w:tc>
        <w:tc>
          <w:tcPr>
            <w:tcW w:type="dxa" w:w="323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8"/>
              </w:rPr>
              <w:t>留白；待協會正式決議或有效授權文件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8"/>
              </w:rPr>
              <w:t>生效日／覆核日</w:t>
            </w:r>
          </w:p>
        </w:tc>
        <w:tc>
          <w:tcPr>
            <w:tcW w:type="dxa" w:w="323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8"/>
              </w:rPr>
              <w:t>留白；核定後填列</w:t>
            </w:r>
          </w:p>
        </w:tc>
        <w:tc>
          <w:tcPr>
            <w:tcW w:type="dxa" w:w="153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8"/>
              </w:rPr>
              <w:t>保管與保存</w:t>
            </w:r>
          </w:p>
        </w:tc>
        <w:tc>
          <w:tcPr>
            <w:tcW w:type="dxa" w:w="323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8"/>
              </w:rPr>
              <w:t>正式保管角色及年限待核定；依有效保存規範執行</w:t>
            </w:r>
          </w:p>
        </w:tc>
      </w:tr>
    </w:tbl>
    <w:p>
      <w:pPr>
        <w:spacing w:after="40"/>
      </w:pPr>
    </w:p>
    <w:p>
      <w:pPr>
        <w:keepLines w:val="0"/>
        <w:spacing w:before="0" w:after="240" w:line="271" w:lineRule="auto"/>
      </w:pPr>
      <w:r>
        <w:rPr>
          <w:rFonts w:ascii="Microsoft JhengHei" w:hAnsi="Microsoft JhengHei" w:eastAsia="Microsoft JhengHei"/>
          <w:sz w:val="19"/>
        </w:rPr>
        <w:t>本文件只把I10-E01所要求的資源甄選、評估、採購、簽約及履約後管理轉成可留痕程序與空白表單。本文的角色名稱、權重、評分門檻與操作規則均為待核定提案，不是協會既有授權或已發生之交易事實。</w:t>
      </w:r>
    </w:p>
    <w:p>
      <w:pPr>
        <w:keepLines w:val="0"/>
        <w:spacing w:before="0" w:after="280" w:line="271" w:lineRule="auto"/>
      </w:pPr>
      <w:r>
        <w:rPr>
          <w:rFonts w:ascii="Microsoft JhengHei" w:hAnsi="Microsoft JhengHei" w:eastAsia="Microsoft JhengHei"/>
          <w:sz w:val="19"/>
        </w:rPr>
        <w:t>本草案不包含任何候選人或廠商名稱、報價、成交價、採購決議、簽約、驗收、績效結果或實際課程交易資料。表格留白處僅供日後依真實文件填寫；不得事後補造、回填或標示為已完成。</w:t>
      </w: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/>
          <w:b/>
          <w:color w:val="173B57"/>
          <w:sz w:val="30"/>
        </w:rPr>
        <w:t>一、目的、範圍與適用界線</w:t>
      </w:r>
    </w:p>
    <w:p>
      <w:pPr>
        <w:keepLines w:val="0"/>
        <w:spacing w:before="0" w:after="100" w:line="271" w:lineRule="auto"/>
      </w:pPr>
      <w:r>
        <w:rPr>
          <w:rFonts w:ascii="Microsoft JhengHei" w:hAnsi="Microsoft JhengHei" w:eastAsia="Microsoft JhengHei"/>
          <w:sz w:val="20"/>
        </w:rPr>
        <w:t>目的：在課程設計及辦訓準備時，先確認所需師資、教材或合作廠商，再以可追溯的條件評估選擇；核准後完成採購／簽約、交付驗收、履約追蹤與續用或改善決定。每次決策須能由需求、候選來源、資格與證據、比較結果、利益衝突處理、核准依據及後續紀錄重現。</w:t>
      </w:r>
    </w:p>
    <w:p>
      <w:pPr>
        <w:keepLines w:val="0"/>
        <w:spacing w:before="0" w:after="100" w:line="271" w:lineRule="auto"/>
      </w:pPr>
      <w:r>
        <w:rPr>
          <w:rFonts w:ascii="Microsoft JhengHei" w:hAnsi="Microsoft JhengHei" w:eastAsia="Microsoft JhengHei"/>
          <w:sz w:val="20"/>
        </w:rPr>
        <w:t>適用資源：內聘或外聘講師／師資；教材、教具、數位或其他學習資源；支援訓練之合作服務或供應商。各類資源依其實際需要採用相關檢核項，不因表單列有欄位便推定曾採購或曾使用。</w:t>
      </w:r>
    </w:p>
    <w:p>
      <w:pPr>
        <w:keepLines w:val="0"/>
        <w:spacing w:before="0" w:after="100" w:line="271" w:lineRule="auto"/>
      </w:pPr>
      <w:r>
        <w:rPr>
          <w:rFonts w:ascii="Microsoft JhengHei" w:hAnsi="Microsoft JhengHei" w:eastAsia="Microsoft JhengHei"/>
          <w:sz w:val="20"/>
        </w:rPr>
        <w:t>協會定位：以健康教育及傳統整復推拿技術為核心；僅在可證明的課程需求、現有資源、適用規範及品質條件支持時，才選擇其他訓練輸入。教材、師資及服務描述不得宣稱診斷、治療或保證療效；需辨明教育訓練與醫療服務的界線。</w:t>
      </w:r>
    </w:p>
    <w:p>
      <w:pPr>
        <w:keepLines w:val="0"/>
        <w:spacing w:before="0" w:after="100" w:line="271" w:lineRule="auto"/>
      </w:pPr>
      <w:r>
        <w:rPr>
          <w:rFonts w:ascii="Microsoft JhengHei" w:hAnsi="Microsoft JhengHei" w:eastAsia="Microsoft JhengHei"/>
          <w:sz w:val="20"/>
        </w:rPr>
        <w:t>官方要求直接回應：本文件依官方資料表第3頁及標準作業手冊第87頁（書面頁碼第81頁）所列指標10要求，建立師資（含內部師資）、教材與合格廠商之適任評估及採購、簽約、後續管理程序。官方資料表列舉之會議／審查紀錄屬佐證例示；是否須會議核准及核准層級，仍依協會正式有效規範判定，不在本草案中創設法定門檻。</w:t>
      </w:r>
    </w:p>
    <w:p>
      <w:pPr>
        <w:keepLines w:val="0"/>
        <w:spacing w:before="0" w:after="100" w:line="271" w:lineRule="auto"/>
      </w:pPr>
      <w:r>
        <w:rPr>
          <w:rFonts w:ascii="Microsoft JhengHei" w:hAnsi="Microsoft JhengHei" w:eastAsia="Microsoft JhengHei"/>
          <w:sz w:val="19"/>
        </w:rPr>
        <w:t>本文件專屬證據位置：第2至9節程序；附表A需求與規格、附表B候選資源比較、附表C利益衝突、附表D採購簽約與驗收、附表E履約KPI、附表F I10-E01要求追溯、附表G真實資料升格檢核。實際執行後，須以已簽核的當案原始紀錄補入證據位置與結果。</w:t>
      </w: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/>
          <w:b/>
          <w:color w:val="173B57"/>
          <w:sz w:val="30"/>
        </w:rPr>
        <w:t>二、控制原則及責任分工（角色提案）</w:t>
      </w:r>
    </w:p>
    <w:p>
      <w:pPr>
        <w:pStyle w:val="ListBullet"/>
        <w:spacing w:after="50" w:line="259" w:lineRule="auto"/>
        <w:ind w:left="369" w:hanging="142"/>
      </w:pPr>
      <w:r>
        <w:rPr>
          <w:rFonts w:ascii="Microsoft JhengHei" w:hAnsi="Microsoft JhengHei" w:eastAsia="Microsoft JhengHei"/>
          <w:color w:val="283441"/>
          <w:sz w:val="19"/>
        </w:rPr>
        <w:t>先定義需要、規格、資格門檻及評選權重，再接觸或比較候選者；如需求變更，記錄版本、原因與核定者，並重新通知受影響候選者。</w:t>
      </w:r>
    </w:p>
    <w:p>
      <w:pPr>
        <w:pStyle w:val="ListBullet"/>
        <w:spacing w:after="50" w:line="259" w:lineRule="auto"/>
        <w:ind w:left="369" w:hanging="142"/>
      </w:pPr>
      <w:r>
        <w:rPr>
          <w:rFonts w:ascii="Microsoft JhengHei" w:hAnsi="Microsoft JhengHei" w:eastAsia="Microsoft JhengHei"/>
          <w:color w:val="283441"/>
          <w:sz w:val="19"/>
        </w:rPr>
        <w:t>每項評分須有可核驗資料或觀察紀錄支持；缺資料標示「待補／未能核實」，不得以印象、關係或空白欄位代替分數。</w:t>
      </w:r>
    </w:p>
    <w:p>
      <w:pPr>
        <w:pStyle w:val="ListBullet"/>
        <w:spacing w:after="50" w:line="259" w:lineRule="auto"/>
        <w:ind w:left="369" w:hanging="142"/>
      </w:pPr>
      <w:r>
        <w:rPr>
          <w:rFonts w:ascii="Microsoft JhengHei" w:hAnsi="Microsoft JhengHei" w:eastAsia="Microsoft JhengHei"/>
          <w:color w:val="283441"/>
          <w:sz w:val="19"/>
        </w:rPr>
        <w:t>先檢查必要資格與重大風險，再進行加權比較。通過評分不等於核准採購；核准、契約、驗收、付款須分別留存其正式依據。</w:t>
      </w:r>
    </w:p>
    <w:p>
      <w:pPr>
        <w:pStyle w:val="ListBullet"/>
        <w:spacing w:after="50" w:line="259" w:lineRule="auto"/>
        <w:ind w:left="369" w:hanging="142"/>
      </w:pPr>
      <w:r>
        <w:rPr>
          <w:rFonts w:ascii="Microsoft JhengHei" w:hAnsi="Microsoft JhengHei" w:eastAsia="Microsoft JhengHei"/>
          <w:color w:val="283441"/>
          <w:sz w:val="19"/>
        </w:rPr>
        <w:t>所有參與者於接觸候選資料前申報利害關係。可能影響公正者應迴避受影響議題，並由有權者指定替代審查者及留存決定。</w:t>
      </w:r>
    </w:p>
    <w:p>
      <w:pPr>
        <w:pStyle w:val="ListBullet"/>
        <w:spacing w:after="50" w:line="259" w:lineRule="auto"/>
        <w:ind w:left="369" w:hanging="142"/>
      </w:pPr>
      <w:r>
        <w:rPr>
          <w:rFonts w:ascii="Microsoft JhengHei" w:hAnsi="Microsoft JhengHei" w:eastAsia="Microsoft JhengHei"/>
          <w:color w:val="283441"/>
          <w:sz w:val="19"/>
        </w:rPr>
        <w:t>保存可重現決策的原始版本與簽核軌跡；不得覆寫、補造、倒填或以本草案、空白表單、擬議職稱充作既有紀錄。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8C5D1"/>
          <w:left w:val="single" w:sz="5" w:space="0" w:color="B8C5D1"/>
          <w:bottom w:val="single" w:sz="5" w:space="0" w:color="B8C5D1"/>
          <w:right w:val="single" w:sz="5" w:space="0" w:color="B8C5D1"/>
          <w:insideH w:val="single" w:sz="5" w:space="0" w:color="B8C5D1"/>
          <w:insideV w:val="single" w:sz="5" w:space="0" w:color="B8C5D1"/>
        </w:tblBorders>
      </w:tblPr>
      <w:tblGrid>
        <w:gridCol w:w="1814"/>
        <w:gridCol w:w="3969"/>
        <w:gridCol w:w="3969"/>
      </w:tblGrid>
      <w:tr>
        <w:trPr>
          <w:tblHeader w:val="true"/>
          <w:cantSplit/>
        </w:trPr>
        <w:tc>
          <w:tcPr>
            <w:tcW w:type="dxa" w:w="181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B57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建議角色（均待核定）</w:t>
            </w:r>
          </w:p>
        </w:tc>
        <w:tc>
          <w:tcPr>
            <w:tcW w:type="dxa" w:w="3969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B57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建議工作責任</w:t>
            </w:r>
          </w:p>
        </w:tc>
        <w:tc>
          <w:tcPr>
            <w:tcW w:type="dxa" w:w="3969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B57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權限控制／留存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7"/>
              </w:rPr>
              <w:t>需求提出者</w:t>
            </w:r>
          </w:p>
        </w:tc>
        <w:tc>
          <w:tcPr>
            <w:tcW w:type="dxa" w:w="3969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7"/>
              </w:rPr>
              <w:t>說明課程需求、適用對象、成果邊界、資源缺口與規格；確認需求不是為特定候選者量身訂做。</w:t>
            </w:r>
          </w:p>
        </w:tc>
        <w:tc>
          <w:tcPr>
            <w:tcW w:type="dxa" w:w="3969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7"/>
              </w:rPr>
              <w:t>提出需求不等於可選定、採購或核准；留存需求與版本。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7"/>
              </w:rPr>
              <w:t>採購／流程承辦窗口</w:t>
            </w:r>
          </w:p>
        </w:tc>
        <w:tc>
          <w:tcPr>
            <w:tcW w:type="dxa" w:w="3969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7"/>
              </w:rPr>
              <w:t>維護時程、發出一致規格、保存往來與報價來源、彙整文件、追蹤待辦。</w:t>
            </w:r>
          </w:p>
        </w:tc>
        <w:tc>
          <w:tcPr>
            <w:tcW w:type="dxa" w:w="3969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7"/>
              </w:rPr>
              <w:t>不得自行授予或代表協會承諾；依有效授權安排流程。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7"/>
              </w:rPr>
              <w:t>課程／專業審查者</w:t>
            </w:r>
          </w:p>
        </w:tc>
        <w:tc>
          <w:tcPr>
            <w:tcW w:type="dxa" w:w="3969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7"/>
              </w:rPr>
              <w:t>核對師資、教材或服務與課程目標、內容品質、適用界線、權利及風險。</w:t>
            </w:r>
          </w:p>
        </w:tc>
        <w:tc>
          <w:tcPr>
            <w:tcW w:type="dxa" w:w="3969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7"/>
              </w:rPr>
              <w:t>評分及意見附證據位置；利益衝突先申報。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7"/>
              </w:rPr>
              <w:t>評選審查者</w:t>
            </w:r>
          </w:p>
        </w:tc>
        <w:tc>
          <w:tcPr>
            <w:tcW w:type="dxa" w:w="3969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7"/>
              </w:rPr>
              <w:t>依預先核定標準獨立評分、說明差異、參與比較與推薦。</w:t>
            </w:r>
          </w:p>
        </w:tc>
        <w:tc>
          <w:tcPr>
            <w:tcW w:type="dxa" w:w="3969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7"/>
              </w:rPr>
              <w:t>推薦不等於核准；評選者姓名、意見及簽名僅於真實案件填入。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7"/>
              </w:rPr>
              <w:t>核准者／核准單位</w:t>
            </w:r>
          </w:p>
        </w:tc>
        <w:tc>
          <w:tcPr>
            <w:tcW w:type="dxa" w:w="3969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7"/>
              </w:rPr>
              <w:t>依有效章程、決議、預算及書面授權作出批准／不批准／退回決定。</w:t>
            </w:r>
          </w:p>
        </w:tc>
        <w:tc>
          <w:tcPr>
            <w:tcW w:type="dxa" w:w="3969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7"/>
              </w:rPr>
              <w:t>本草案不設定授權層級、金額門檻或委任；核准依據、日期與簽章留白待真實資料。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7"/>
              </w:rPr>
              <w:t>驗收／履約檢核者</w:t>
            </w:r>
          </w:p>
        </w:tc>
        <w:tc>
          <w:tcPr>
            <w:tcW w:type="dxa" w:w="3969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7"/>
              </w:rPr>
              <w:t>依契約或核定規格逐項確認交付、品質、數量、缺失與改善。</w:t>
            </w:r>
          </w:p>
        </w:tc>
        <w:tc>
          <w:tcPr>
            <w:tcW w:type="dxa" w:w="3969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7"/>
              </w:rPr>
              <w:t>宜由未單獨決定採購者檢核；分工方式待協會核定，驗收憑據需可追溯。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7"/>
              </w:rPr>
              <w:t>財務／文件保管角色</w:t>
            </w:r>
          </w:p>
        </w:tc>
        <w:tc>
          <w:tcPr>
            <w:tcW w:type="dxa" w:w="3969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7"/>
              </w:rPr>
              <w:t>核對核定預算與支出文件；依有效保存規則管理採購、契約、驗收及履約檔案。</w:t>
            </w:r>
          </w:p>
        </w:tc>
        <w:tc>
          <w:tcPr>
            <w:tcW w:type="dxa" w:w="3969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7"/>
              </w:rPr>
              <w:t>職稱、保管權限、年限、存取權均待正式規範確認。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6DF"/>
          <w:left w:val="single" w:sz="6" w:space="0" w:color="CBD6DF"/>
          <w:bottom w:val="single" w:sz="6" w:space="0" w:color="CBD6DF"/>
          <w:right w:val="single" w:sz="6" w:space="0" w:color="CBD6DF"/>
          <w:insideH w:val="single" w:sz="6" w:space="0" w:color="CBD6DF"/>
          <w:insideV w:val="single" w:sz="6" w:space="0" w:color="CBD6DF"/>
        </w:tblBorders>
      </w:tblPr>
      <w:tblGrid>
        <w:gridCol w:w="9866"/>
      </w:tblGrid>
      <w:tr>
        <w:tc>
          <w:tcPr>
            <w:tcW w:type="dxa" w:w="9694"/>
            <w:shd w:fill="FBEFD9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73B57"/>
                <w:sz w:val="19"/>
              </w:rPr>
              <w:t xml:space="preserve">授權界線　</w:t>
            </w:r>
            <w:r>
              <w:rPr>
                <w:rFonts w:ascii="Microsoft JhengHei" w:hAnsi="Microsoft JhengHei" w:eastAsia="Microsoft JhengHei"/>
                <w:color w:val="283441"/>
                <w:sz w:val="19"/>
              </w:rPr>
              <w:t>只有經協會正式核定的制度，並由當時有效的章程、會議決議或書面授權指定之人，才可執行相應的核准、簽約或付款職責。未核定前，本草案中的角色僅是流程設計提案。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/>
          <w:b/>
          <w:color w:val="173B57"/>
          <w:sz w:val="30"/>
        </w:rPr>
        <w:t>三、作業流程：需求至選擇決定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8C5D1"/>
          <w:left w:val="single" w:sz="5" w:space="0" w:color="B8C5D1"/>
          <w:bottom w:val="single" w:sz="5" w:space="0" w:color="B8C5D1"/>
          <w:right w:val="single" w:sz="5" w:space="0" w:color="B8C5D1"/>
          <w:insideH w:val="single" w:sz="5" w:space="0" w:color="B8C5D1"/>
          <w:insideV w:val="single" w:sz="5" w:space="0" w:color="B8C5D1"/>
        </w:tblBorders>
      </w:tblPr>
      <w:tblGrid>
        <w:gridCol w:w="1474"/>
        <w:gridCol w:w="3572"/>
        <w:gridCol w:w="2608"/>
        <w:gridCol w:w="2098"/>
      </w:tblGrid>
      <w:tr>
        <w:trPr>
          <w:tblHeader w:val="true"/>
          <w:cantSplit/>
        </w:trPr>
        <w:tc>
          <w:tcPr>
            <w:tcW w:type="dxa" w:w="147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B57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階段／控制點</w:t>
            </w:r>
          </w:p>
        </w:tc>
        <w:tc>
          <w:tcPr>
            <w:tcW w:type="dxa" w:w="357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B57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執行輸入與處理</w:t>
            </w:r>
          </w:p>
        </w:tc>
        <w:tc>
          <w:tcPr>
            <w:tcW w:type="dxa" w:w="260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B57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判定／輸出</w:t>
            </w:r>
          </w:p>
        </w:tc>
        <w:tc>
          <w:tcPr>
            <w:tcW w:type="dxa" w:w="209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B57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必要紀錄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6"/>
              </w:rPr>
              <w:t>1 需求與規格</w:t>
            </w:r>
          </w:p>
        </w:tc>
        <w:tc>
          <w:tcPr>
            <w:tcW w:type="dxa" w:w="357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6"/>
              </w:rPr>
              <w:t>提出課程設計／辦訓的具體缺口；附表A明定資源類型、工作範圍、可驗收成果、時程、必要資格、權利／資料需求與預算來源（如適用）。</w:t>
            </w:r>
          </w:p>
        </w:tc>
        <w:tc>
          <w:tcPr>
            <w:tcW w:type="dxa" w:w="260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6"/>
              </w:rPr>
              <w:t>需求清楚、規格可衡量且與協會定位相符；否則退回補正。</w:t>
            </w:r>
          </w:p>
        </w:tc>
        <w:tc>
          <w:tcPr>
            <w:tcW w:type="dxa" w:w="209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6"/>
              </w:rPr>
              <w:t>需求單、規格版本、需求確認與預算來源依據。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6"/>
              </w:rPr>
              <w:t>2 候選來源搜尋</w:t>
            </w:r>
          </w:p>
        </w:tc>
        <w:tc>
          <w:tcPr>
            <w:tcW w:type="dxa" w:w="357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6"/>
              </w:rPr>
              <w:t>依規格查找可接觸來源；可用公開資訊、專業組織／課程資訊、直接詢問或已可核驗的過往供應紀錄。向候選者提供相同需求與回覆期限。</w:t>
            </w:r>
          </w:p>
        </w:tc>
        <w:tc>
          <w:tcPr>
            <w:tcW w:type="dxa" w:w="260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6"/>
              </w:rPr>
              <w:t>保留搜尋方法、日期、詢問內容與回覆；若來源不足，記錄已做搜尋與限制，不虛構候選人。</w:t>
            </w:r>
          </w:p>
        </w:tc>
        <w:tc>
          <w:tcPr>
            <w:tcW w:type="dxa" w:w="209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6"/>
              </w:rPr>
              <w:t>來源清單、原始公告／詢問／回覆、未回覆紀錄。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6"/>
              </w:rPr>
              <w:t>3 資格與適任性</w:t>
            </w:r>
          </w:p>
        </w:tc>
        <w:tc>
          <w:tcPr>
            <w:tcW w:type="dxa" w:w="357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6"/>
              </w:rPr>
              <w:t>先做必要資格及風險檢核；依資源類型核對證明、課程適配、教材版本／授權、服務能力、隱私與安全控制。</w:t>
            </w:r>
          </w:p>
        </w:tc>
        <w:tc>
          <w:tcPr>
            <w:tcW w:type="dxa" w:w="260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6"/>
              </w:rPr>
              <w:t>逐項標示通過／不通過／待核實並附證據。重大門檻未通過或無法驗證，不進入推薦；說明原因。</w:t>
            </w:r>
          </w:p>
        </w:tc>
        <w:tc>
          <w:tcPr>
            <w:tcW w:type="dxa" w:w="209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6"/>
              </w:rPr>
              <w:t>資格檢核表、證照／作品／授權等真實證據副本或定位。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6"/>
              </w:rPr>
              <w:t>4 利益衝突</w:t>
            </w:r>
          </w:p>
        </w:tc>
        <w:tc>
          <w:tcPr>
            <w:tcW w:type="dxa" w:w="357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6"/>
              </w:rPr>
              <w:t>所有參與者於取得候選資料後、評分前申報；承辦彙整並交有權者判定需否揭露、限制接觸或迴避。</w:t>
            </w:r>
          </w:p>
        </w:tc>
        <w:tc>
          <w:tcPr>
            <w:tcW w:type="dxa" w:w="260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6"/>
              </w:rPr>
              <w:t>迴避範圍、替代審查人、候選資訊隔離及重新評分方法有紀錄。</w:t>
            </w:r>
          </w:p>
        </w:tc>
        <w:tc>
          <w:tcPr>
            <w:tcW w:type="dxa" w:w="209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6"/>
              </w:rPr>
              <w:t>附表C及相關核定／替補紀錄。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6"/>
              </w:rPr>
              <w:t>5 預先評分與比較</w:t>
            </w:r>
          </w:p>
        </w:tc>
        <w:tc>
          <w:tcPr>
            <w:tcW w:type="dxa" w:w="357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6"/>
              </w:rPr>
              <w:t>依事前核定的權重與尺度獨立填寫理由、證據位置、風險、可比較價格基礎；差異由審查者說明並留存。</w:t>
            </w:r>
          </w:p>
        </w:tc>
        <w:tc>
          <w:tcPr>
            <w:tcW w:type="dxa" w:w="260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6"/>
              </w:rPr>
              <w:t>計算加權總分，列出通過門檻、待補資料、不可比項與推薦理由；沒有證據不得補分。</w:t>
            </w:r>
          </w:p>
        </w:tc>
        <w:tc>
          <w:tcPr>
            <w:tcW w:type="dxa" w:w="209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6"/>
              </w:rPr>
              <w:t>附表B評分底稿、比較表、計算及差異說明。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6"/>
              </w:rPr>
              <w:t>6 核准／採購決定</w:t>
            </w:r>
          </w:p>
        </w:tc>
        <w:tc>
          <w:tcPr>
            <w:tcW w:type="dxa" w:w="357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6"/>
              </w:rPr>
              <w:t>承辦提交需求、搜尋及比較紀錄、衝突處理、預算與風險；依當時有效授權程序審議。</w:t>
            </w:r>
          </w:p>
        </w:tc>
        <w:tc>
          <w:tcPr>
            <w:tcW w:type="dxa" w:w="260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6"/>
              </w:rPr>
              <w:t>核准／不核准／退回及理由可追溯；核准前不得通知選定、下單、承諾或簽約。</w:t>
            </w:r>
          </w:p>
        </w:tc>
        <w:tc>
          <w:tcPr>
            <w:tcW w:type="dxa" w:w="209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6"/>
              </w:rPr>
              <w:t>核准文件、會議／審查紀錄（如適用）、預算依據、決策通知。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6"/>
              </w:rPr>
              <w:t>7 採購與契約</w:t>
            </w:r>
          </w:p>
        </w:tc>
        <w:tc>
          <w:tcPr>
            <w:tcW w:type="dxa" w:w="357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6"/>
              </w:rPr>
              <w:t>依核准範圍確認價格／計價方式、交付、時程、驗收、付款條件、變更、權利、保密／個資、安全、分包、違約與終止條款。</w:t>
            </w:r>
          </w:p>
        </w:tc>
        <w:tc>
          <w:tcPr>
            <w:tcW w:type="dxa" w:w="260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6"/>
              </w:rPr>
              <w:t>僅由具有效授權者簽署；談判變更超過核准範圍時重新核准。</w:t>
            </w:r>
          </w:p>
        </w:tc>
        <w:tc>
          <w:tcPr>
            <w:tcW w:type="dxa" w:w="209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6"/>
              </w:rPr>
              <w:t>採購文件、正式報價／比價依據、契約／訂單及簽署授權。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6"/>
              </w:rPr>
              <w:t>8 驗收與追蹤</w:t>
            </w:r>
          </w:p>
        </w:tc>
        <w:tc>
          <w:tcPr>
            <w:tcW w:type="dxa" w:w="357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6"/>
              </w:rPr>
              <w:t>對照規格／契約逐項驗收；將不符項目列缺失、責任、改善期限與複驗結果；履約期間依附表E監控。</w:t>
            </w:r>
          </w:p>
        </w:tc>
        <w:tc>
          <w:tcPr>
            <w:tcW w:type="dxa" w:w="260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6"/>
              </w:rPr>
              <w:t>合格／部分合格／不合格、付款建議及未結風險均有依據；付款仍須依正式財務規範。</w:t>
            </w:r>
          </w:p>
        </w:tc>
        <w:tc>
          <w:tcPr>
            <w:tcW w:type="dxa" w:w="209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6"/>
              </w:rPr>
              <w:t>附表D驗收、交付版本、缺失／改善、附表E KPI及憑證。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6"/>
              </w:rPr>
              <w:t>9 後評與續用</w:t>
            </w:r>
          </w:p>
        </w:tc>
        <w:tc>
          <w:tcPr>
            <w:tcW w:type="dxa" w:w="357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6"/>
              </w:rPr>
              <w:t>於當案事前設定的節點分析KPI、回饋、事件、成本偏差及改善成效；評估續用、限期改善、暫停、終止或重新遴選。</w:t>
            </w:r>
          </w:p>
        </w:tc>
        <w:tc>
          <w:tcPr>
            <w:tcW w:type="dxa" w:w="260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6"/>
              </w:rPr>
              <w:t>說明實際資料來源、分母、缺漏與限制；續用需重新確認需求、資格、權利、價格與有效核准。</w:t>
            </w:r>
          </w:p>
        </w:tc>
        <w:tc>
          <w:tcPr>
            <w:tcW w:type="dxa" w:w="209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6"/>
              </w:rPr>
              <w:t>履約後評、改善追蹤、續用／停用決定及真實核准依據。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/>
          <w:b/>
          <w:color w:val="173B57"/>
          <w:sz w:val="30"/>
        </w:rPr>
        <w:t>四、需求分析與規格設定</w:t>
      </w:r>
    </w:p>
    <w:p>
      <w:pPr>
        <w:keepLines w:val="0"/>
        <w:spacing w:before="0" w:after="100" w:line="271" w:lineRule="auto"/>
      </w:pPr>
      <w:r>
        <w:rPr>
          <w:rFonts w:ascii="Microsoft JhengHei" w:hAnsi="Microsoft JhengHei" w:eastAsia="Microsoft JhengHei"/>
          <w:sz w:val="20"/>
        </w:rPr>
        <w:t>需求提出者先確認課程目標與資源缺口，再決定資源型態；規格以必要條件與可驗收成果描述，不以候選者姓名、特定品牌或未核實履歷作為前提。課程與服務須落在協會已核定的宗旨／範圍，其他訓練輸入須有真實需求及資源理由。</w:t>
      </w:r>
    </w:p>
    <w:p>
      <w:pPr>
        <w:pStyle w:val="ListBullet"/>
        <w:spacing w:after="50" w:line="259" w:lineRule="auto"/>
        <w:ind w:left="369" w:hanging="142"/>
      </w:pPr>
      <w:r>
        <w:rPr>
          <w:rFonts w:ascii="Microsoft JhengHei" w:hAnsi="Microsoft JhengHei" w:eastAsia="Microsoft JhengHei"/>
          <w:color w:val="283441"/>
          <w:sz w:val="19"/>
        </w:rPr>
        <w:t>共同欄位：需求及其來源、適用課程／對象、工作範圍、交付成果、時程與地點需求、資格／經驗、品質與安全要求、權利／資料處理、驗收方式、預算來源與限制、風險及替代方案。</w:t>
      </w:r>
    </w:p>
    <w:p>
      <w:pPr>
        <w:pStyle w:val="ListBullet"/>
        <w:spacing w:after="50" w:line="259" w:lineRule="auto"/>
        <w:ind w:left="369" w:hanging="142"/>
      </w:pPr>
      <w:r>
        <w:rPr>
          <w:rFonts w:ascii="Microsoft JhengHei" w:hAnsi="Microsoft JhengHei" w:eastAsia="Microsoft JhengHei"/>
          <w:color w:val="283441"/>
          <w:sz w:val="19"/>
        </w:rPr>
        <w:t>師資：課程內容與實際教學任務、可核實的資格／經驗、教學方式、時數或交付項目、教材準備、學員適用性及不得逾越的教育／醫療界線。內部師資同樣須有適任評估及授課安排依據。</w:t>
      </w:r>
    </w:p>
    <w:p>
      <w:pPr>
        <w:pStyle w:val="ListBullet"/>
        <w:spacing w:after="50" w:line="259" w:lineRule="auto"/>
        <w:ind w:left="369" w:hanging="142"/>
      </w:pPr>
      <w:r>
        <w:rPr>
          <w:rFonts w:ascii="Microsoft JhengHei" w:hAnsi="Microsoft JhengHei" w:eastAsia="Microsoft JhengHei"/>
          <w:color w:val="283441"/>
          <w:sz w:val="19"/>
        </w:rPr>
        <w:t>教材／教具／數位內容：主題與版本、正確性與可讀性、與課程目標對應、可使用語言／格式、著作權與授權範圍、更新與保存、無障礙／設備相容及資訊安全需求。</w:t>
      </w:r>
    </w:p>
    <w:p>
      <w:pPr>
        <w:pStyle w:val="ListBullet"/>
        <w:spacing w:after="50" w:line="259" w:lineRule="auto"/>
        <w:ind w:left="369" w:hanging="142"/>
      </w:pPr>
      <w:r>
        <w:rPr>
          <w:rFonts w:ascii="Microsoft JhengHei" w:hAnsi="Microsoft JhengHei" w:eastAsia="Microsoft JhengHei"/>
          <w:color w:val="283441"/>
          <w:sz w:val="19"/>
        </w:rPr>
        <w:t>合作廠商／服務：服務範圍、資格及人力、交付與服務水準、場地／設備／支援、分包、個資與保密、營運持續、保險或安全文件（若適用）、驗收及缺失處理。</w:t>
      </w:r>
    </w:p>
    <w:p>
      <w:pPr>
        <w:pStyle w:val="ListBullet"/>
        <w:spacing w:after="50" w:line="259" w:lineRule="auto"/>
        <w:ind w:left="369" w:hanging="142"/>
      </w:pPr>
      <w:r>
        <w:rPr>
          <w:rFonts w:ascii="Microsoft JhengHei" w:hAnsi="Microsoft JhengHei" w:eastAsia="Microsoft JhengHei"/>
          <w:color w:val="283441"/>
          <w:sz w:val="19"/>
        </w:rPr>
        <w:t>價格比較須使用同一範圍、期間、單位及稅費基礎；若不可直接比較，列明差異、調整方法及其依據，不把口頭估值當成報價。</w:t>
      </w:r>
    </w:p>
    <w:p>
      <w:pPr>
        <w:keepLines w:val="0"/>
        <w:spacing w:before="0" w:after="100" w:line="271" w:lineRule="auto"/>
      </w:pPr>
      <w:r>
        <w:rPr>
          <w:rFonts w:ascii="Microsoft JhengHei" w:hAnsi="Microsoft JhengHei" w:eastAsia="Microsoft JhengHei"/>
          <w:sz w:val="19"/>
        </w:rPr>
        <w:t>規格核定後建立版本及日期。候選者接觸前如需修改門檻或評分權重，須留下變更原因、核准依據，並對所有候選者採一致資訊；不得在看到候選分數後為特定對象改權重。</w:t>
      </w: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/>
          <w:b/>
          <w:color w:val="173B57"/>
          <w:sz w:val="30"/>
        </w:rPr>
        <w:t>五、候選來源、資格門檻與適任性檢核</w:t>
      </w:r>
    </w:p>
    <w:p>
      <w:pPr>
        <w:keepLines w:val="0"/>
        <w:spacing w:before="0" w:after="100" w:line="271" w:lineRule="auto"/>
      </w:pPr>
      <w:r>
        <w:rPr>
          <w:rFonts w:ascii="Microsoft JhengHei" w:hAnsi="Microsoft JhengHei" w:eastAsia="Microsoft JhengHei"/>
          <w:sz w:val="20"/>
        </w:rPr>
        <w:t>承辦窗口依規格查找來源並保留查找軌跡；可記錄公開課程／專業資訊、正式組織名錄、公開徵詢、直接詢問或已存在且可核驗的服務資料。來源本身不構成推薦或合作紀錄。若無法取得多個可比來源，須記錄搜尋範圍、限制、合理性檢視及核准依據，不填造候選資料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8C5D1"/>
          <w:left w:val="single" w:sz="5" w:space="0" w:color="B8C5D1"/>
          <w:bottom w:val="single" w:sz="5" w:space="0" w:color="B8C5D1"/>
          <w:right w:val="single" w:sz="5" w:space="0" w:color="B8C5D1"/>
          <w:insideH w:val="single" w:sz="5" w:space="0" w:color="B8C5D1"/>
          <w:insideV w:val="single" w:sz="5" w:space="0" w:color="B8C5D1"/>
        </w:tblBorders>
      </w:tblPr>
      <w:tblGrid>
        <w:gridCol w:w="1701"/>
        <w:gridCol w:w="3118"/>
        <w:gridCol w:w="3118"/>
        <w:gridCol w:w="1701"/>
      </w:tblGrid>
      <w:tr>
        <w:trPr>
          <w:tblHeader w:val="true"/>
          <w:cantSplit/>
        </w:trPr>
        <w:tc>
          <w:tcPr>
            <w:tcW w:type="dxa" w:w="170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B57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資源</w:t>
            </w:r>
          </w:p>
        </w:tc>
        <w:tc>
          <w:tcPr>
            <w:tcW w:type="dxa" w:w="311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B57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必要適任檢核（依個案規格選用）</w:t>
            </w:r>
          </w:p>
        </w:tc>
        <w:tc>
          <w:tcPr>
            <w:tcW w:type="dxa" w:w="311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B57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常見可核驗資料／風險</w:t>
            </w:r>
          </w:p>
        </w:tc>
        <w:tc>
          <w:tcPr>
            <w:tcW w:type="dxa" w:w="170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B57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判定欄位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6"/>
              </w:rPr>
              <w:t>講師（內／外聘）</w:t>
            </w:r>
          </w:p>
        </w:tc>
        <w:tc>
          <w:tcPr>
            <w:tcW w:type="dxa" w:w="311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6"/>
              </w:rPr>
              <w:t>教學內容與課程需求一致；資格／經驗與任務相符；可依約授課及交付；教育內容不越界。</w:t>
            </w:r>
          </w:p>
        </w:tc>
        <w:tc>
          <w:tcPr>
            <w:tcW w:type="dxa" w:w="311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6"/>
              </w:rPr>
              <w:t>資格證明、經歷、教材／教案樣本、可用時段、實際授課能力佐證；名冊或自述須核驗。</w:t>
            </w:r>
          </w:p>
        </w:tc>
        <w:tc>
          <w:tcPr>
            <w:tcW w:type="dxa" w:w="170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6"/>
              </w:rPr>
              <w:t>☐通過　☐不通過　☐待核實；依據：＿＿＿＿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6"/>
              </w:rPr>
              <w:t>教材／教具／數位資源</w:t>
            </w:r>
          </w:p>
        </w:tc>
        <w:tc>
          <w:tcPr>
            <w:tcW w:type="dxa" w:w="311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6"/>
              </w:rPr>
              <w:t>主題、版本、品質、語言及可用性符合規格；具合法使用權；必要更新與支援可取得。</w:t>
            </w:r>
          </w:p>
        </w:tc>
        <w:tc>
          <w:tcPr>
            <w:tcW w:type="dxa" w:w="311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6"/>
              </w:rPr>
              <w:t>樣章／試用、版本來源、授權、更新條款、相容性、資料安全、限制或缺陷。</w:t>
            </w:r>
          </w:p>
        </w:tc>
        <w:tc>
          <w:tcPr>
            <w:tcW w:type="dxa" w:w="170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6"/>
              </w:rPr>
              <w:t>☐通過　☐不通過　☐待核實；依據：＿＿＿＿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6"/>
              </w:rPr>
              <w:t>合作廠商／服務</w:t>
            </w:r>
          </w:p>
        </w:tc>
        <w:tc>
          <w:tcPr>
            <w:tcW w:type="dxa" w:w="311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6"/>
              </w:rPr>
              <w:t>服務範圍及能力符合需求；資格文件真實有效；交付能力、分包、資料／場地安全與持續性可接受。</w:t>
            </w:r>
          </w:p>
        </w:tc>
        <w:tc>
          <w:tcPr>
            <w:tcW w:type="dxa" w:w="311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6"/>
              </w:rPr>
              <w:t>登記／資格（適用時）、服務計畫、人力、設備、保密／個資與安全控制、過往證明（若可核驗）。</w:t>
            </w:r>
          </w:p>
        </w:tc>
        <w:tc>
          <w:tcPr>
            <w:tcW w:type="dxa" w:w="170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6"/>
              </w:rPr>
              <w:t>☐通過　☐不通過　☐待核實；依據：＿＿＿＿</w:t>
            </w:r>
          </w:p>
        </w:tc>
      </w:tr>
    </w:tbl>
    <w:p>
      <w:pPr>
        <w:spacing w:after="40"/>
      </w:pPr>
    </w:p>
    <w:p>
      <w:pPr>
        <w:keepLines w:val="0"/>
        <w:spacing w:before="0" w:after="100" w:line="271" w:lineRule="auto"/>
      </w:pPr>
      <w:r>
        <w:rPr>
          <w:rFonts w:ascii="Microsoft JhengHei" w:hAnsi="Microsoft JhengHei" w:eastAsia="Microsoft JhengHei"/>
          <w:sz w:val="20"/>
        </w:rPr>
        <w:t>待核實資料的狀態須在比較表標明，設定補件責任與截止點；未完成前不得將其視為通過或作為核准理由。排除候選者須列具體規格項目及證據，而非只寫「不適合」。</w:t>
      </w: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/>
          <w:b/>
          <w:color w:val="173B57"/>
          <w:sz w:val="30"/>
        </w:rPr>
        <w:t>六、事前訂定的評分規則（提案；正式核定前不得套用）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6DF"/>
          <w:left w:val="single" w:sz="6" w:space="0" w:color="CBD6DF"/>
          <w:bottom w:val="single" w:sz="6" w:space="0" w:color="CBD6DF"/>
          <w:right w:val="single" w:sz="6" w:space="0" w:color="CBD6DF"/>
          <w:insideH w:val="single" w:sz="6" w:space="0" w:color="CBD6DF"/>
          <w:insideV w:val="single" w:sz="6" w:space="0" w:color="CBD6DF"/>
        </w:tblBorders>
      </w:tblPr>
      <w:tblGrid>
        <w:gridCol w:w="9866"/>
      </w:tblGrid>
      <w:tr>
        <w:tc>
          <w:tcPr>
            <w:tcW w:type="dxa" w:w="9694"/>
            <w:shd w:fill="FBEFD9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73B57"/>
                <w:sz w:val="19"/>
              </w:rPr>
              <w:t xml:space="preserve">擬議評選方案　</w:t>
            </w:r>
            <w:r>
              <w:rPr>
                <w:rFonts w:ascii="Microsoft JhengHei" w:hAnsi="Microsoft JhengHei" w:eastAsia="Microsoft JhengHei"/>
                <w:color w:val="283441"/>
                <w:sz w:val="19"/>
              </w:rPr>
              <w:t>以下六項權重合計100%；1–5分量尺、總分門檻3.8/5及必要條件的關鍵項目最低3分均屬協會待核定提案。須先完成正式核定並寫入當案規格，之後才能評分。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8C5D1"/>
          <w:left w:val="single" w:sz="5" w:space="0" w:color="B8C5D1"/>
          <w:bottom w:val="single" w:sz="5" w:space="0" w:color="B8C5D1"/>
          <w:right w:val="single" w:sz="5" w:space="0" w:color="B8C5D1"/>
          <w:insideH w:val="single" w:sz="5" w:space="0" w:color="B8C5D1"/>
          <w:insideV w:val="single" w:sz="5" w:space="0" w:color="B8C5D1"/>
        </w:tblBorders>
      </w:tblPr>
      <w:tblGrid>
        <w:gridCol w:w="2041"/>
        <w:gridCol w:w="1077"/>
        <w:gridCol w:w="4535"/>
        <w:gridCol w:w="1984"/>
      </w:tblGrid>
      <w:tr>
        <w:trPr>
          <w:tblHeader w:val="true"/>
          <w:cantSplit/>
        </w:trPr>
        <w:tc>
          <w:tcPr>
            <w:tcW w:type="dxa" w:w="204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B57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評選項目</w:t>
            </w:r>
          </w:p>
        </w:tc>
        <w:tc>
          <w:tcPr>
            <w:tcW w:type="dxa" w:w="107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B57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提案權重</w:t>
            </w:r>
          </w:p>
        </w:tc>
        <w:tc>
          <w:tcPr>
            <w:tcW w:type="dxa" w:w="4535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B57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評估依據（與規格逐項對照）</w:t>
            </w:r>
          </w:p>
        </w:tc>
        <w:tc>
          <w:tcPr>
            <w:tcW w:type="dxa" w:w="198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B57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關鍵門檻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6"/>
              </w:rPr>
              <w:t>需求／課程適配</w:t>
            </w:r>
          </w:p>
        </w:tc>
        <w:tc>
          <w:tcPr>
            <w:tcW w:type="dxa" w:w="107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6"/>
              </w:rPr>
              <w:t>25%</w:t>
            </w:r>
          </w:p>
        </w:tc>
        <w:tc>
          <w:tcPr>
            <w:tcW w:type="dxa" w:w="4535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6"/>
              </w:rPr>
              <w:t>資源內容、對象、教學／服務方式與已確認需求的對應及交付可行性。</w:t>
            </w:r>
          </w:p>
        </w:tc>
        <w:tc>
          <w:tcPr>
            <w:tcW w:type="dxa" w:w="198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6"/>
              </w:rPr>
              <w:t>提案關鍵項；若根本不適配，列不通過。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6"/>
              </w:rPr>
              <w:t>可驗證資格／專業證據</w:t>
            </w:r>
          </w:p>
        </w:tc>
        <w:tc>
          <w:tcPr>
            <w:tcW w:type="dxa" w:w="107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6"/>
              </w:rPr>
              <w:t>20%</w:t>
            </w:r>
          </w:p>
        </w:tc>
        <w:tc>
          <w:tcPr>
            <w:tcW w:type="dxa" w:w="4535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6"/>
              </w:rPr>
              <w:t>資格、經驗、作品或能力證據是否真實、有效且足以支持本案任務。</w:t>
            </w:r>
          </w:p>
        </w:tc>
        <w:tc>
          <w:tcPr>
            <w:tcW w:type="dxa" w:w="198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6"/>
              </w:rPr>
              <w:t>按適用資格門檻檢查；資格缺漏先待核實。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6"/>
              </w:rPr>
              <w:t>內容／服務品質</w:t>
            </w:r>
          </w:p>
        </w:tc>
        <w:tc>
          <w:tcPr>
            <w:tcW w:type="dxa" w:w="107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6"/>
              </w:rPr>
              <w:t>20%</w:t>
            </w:r>
          </w:p>
        </w:tc>
        <w:tc>
          <w:tcPr>
            <w:tcW w:type="dxa" w:w="4535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6"/>
              </w:rPr>
              <w:t>教材內容品質、教學呈現、服務方法、版本維護與品質保證。</w:t>
            </w:r>
          </w:p>
        </w:tc>
        <w:tc>
          <w:tcPr>
            <w:tcW w:type="dxa" w:w="198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6"/>
              </w:rPr>
              <w:t>依規格提出可觀察證據。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6"/>
              </w:rPr>
              <w:t>安全、適用規範、權利及資料控制</w:t>
            </w:r>
          </w:p>
        </w:tc>
        <w:tc>
          <w:tcPr>
            <w:tcW w:type="dxa" w:w="107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6"/>
              </w:rPr>
              <w:t>15%</w:t>
            </w:r>
          </w:p>
        </w:tc>
        <w:tc>
          <w:tcPr>
            <w:tcW w:type="dxa" w:w="4535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6"/>
              </w:rPr>
              <w:t>安全與風險措施、著作權／使用權、隱私／資料處理及其他適用要求。</w:t>
            </w:r>
          </w:p>
        </w:tc>
        <w:tc>
          <w:tcPr>
            <w:tcW w:type="dxa" w:w="198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6"/>
              </w:rPr>
              <w:t>提案關鍵項；重大未解風險不得推薦。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6"/>
              </w:rPr>
              <w:t>交付能力／時程／支援</w:t>
            </w:r>
          </w:p>
        </w:tc>
        <w:tc>
          <w:tcPr>
            <w:tcW w:type="dxa" w:w="107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6"/>
              </w:rPr>
              <w:t>10%</w:t>
            </w:r>
          </w:p>
        </w:tc>
        <w:tc>
          <w:tcPr>
            <w:tcW w:type="dxa" w:w="4535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6"/>
              </w:rPr>
              <w:t>可履行能力、可用時程、支援、替代安排及持續性。</w:t>
            </w:r>
          </w:p>
        </w:tc>
        <w:tc>
          <w:tcPr>
            <w:tcW w:type="dxa" w:w="198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6"/>
              </w:rPr>
              <w:t>依個案交付節點核驗。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6"/>
              </w:rPr>
              <w:t>全生命週期成本合理性</w:t>
            </w:r>
          </w:p>
        </w:tc>
        <w:tc>
          <w:tcPr>
            <w:tcW w:type="dxa" w:w="107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6"/>
              </w:rPr>
              <w:t>10%</w:t>
            </w:r>
          </w:p>
        </w:tc>
        <w:tc>
          <w:tcPr>
            <w:tcW w:type="dxa" w:w="4535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6"/>
              </w:rPr>
              <w:t>相同範圍及計價基礎下的價格證據、必要附加成本、維護／更新成本及預算合理性。</w:t>
            </w:r>
          </w:p>
        </w:tc>
        <w:tc>
          <w:tcPr>
            <w:tcW w:type="dxa" w:w="198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6"/>
              </w:rPr>
              <w:t>不得只比單價；價格基礎與來源必填。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6"/>
              </w:rPr>
              <w:t>合計</w:t>
            </w:r>
          </w:p>
        </w:tc>
        <w:tc>
          <w:tcPr>
            <w:tcW w:type="dxa" w:w="107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6"/>
              </w:rPr>
              <w:t>100%</w:t>
            </w:r>
          </w:p>
        </w:tc>
        <w:tc>
          <w:tcPr>
            <w:tcW w:type="dxa" w:w="4535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6"/>
              </w:rPr>
              <w:t>權重須於候選評分前核定；任何變更需核准並留痕。</w:t>
            </w:r>
          </w:p>
        </w:tc>
        <w:tc>
          <w:tcPr>
            <w:tcW w:type="dxa" w:w="198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6"/>
              </w:rPr>
              <w:t>提案數值，不是目前已採行規則。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Microsoft JhengHei" w:hAnsi="Microsoft JhengHei" w:eastAsia="Microsoft JhengHei"/>
          <w:b/>
          <w:color w:val="173B57"/>
          <w:sz w:val="24"/>
        </w:rPr>
        <w:t>建議評分尺度與計算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8C5D1"/>
          <w:left w:val="single" w:sz="5" w:space="0" w:color="B8C5D1"/>
          <w:bottom w:val="single" w:sz="5" w:space="0" w:color="B8C5D1"/>
          <w:right w:val="single" w:sz="5" w:space="0" w:color="B8C5D1"/>
          <w:insideH w:val="single" w:sz="5" w:space="0" w:color="B8C5D1"/>
          <w:insideV w:val="single" w:sz="5" w:space="0" w:color="B8C5D1"/>
        </w:tblBorders>
      </w:tblPr>
      <w:tblGrid>
        <w:gridCol w:w="794"/>
        <w:gridCol w:w="5726"/>
        <w:gridCol w:w="3118"/>
      </w:tblGrid>
      <w:tr>
        <w:trPr>
          <w:tblHeader w:val="true"/>
          <w:cantSplit/>
        </w:trPr>
        <w:tc>
          <w:tcPr>
            <w:tcW w:type="dxa" w:w="79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B57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分數</w:t>
            </w:r>
          </w:p>
        </w:tc>
        <w:tc>
          <w:tcPr>
            <w:tcW w:type="dxa" w:w="572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B57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建議錨點（待核定）</w:t>
            </w:r>
          </w:p>
        </w:tc>
        <w:tc>
          <w:tcPr>
            <w:tcW w:type="dxa" w:w="311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B57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評分紀錄要求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7"/>
              </w:rPr>
              <w:t>1</w:t>
            </w:r>
          </w:p>
        </w:tc>
        <w:tc>
          <w:tcPr>
            <w:tcW w:type="dxa" w:w="572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7"/>
              </w:rPr>
              <w:t>未達主要規格或僅有零星支持資料；如屬資格／重大風險門檻，依門檻處理。</w:t>
            </w:r>
          </w:p>
        </w:tc>
        <w:tc>
          <w:tcPr>
            <w:tcW w:type="dxa" w:w="311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7"/>
              </w:rPr>
              <w:t>指出差距及證據。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7"/>
              </w:rPr>
              <w:t>2</w:t>
            </w:r>
          </w:p>
        </w:tc>
        <w:tc>
          <w:tcPr>
            <w:tcW w:type="dxa" w:w="572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7"/>
              </w:rPr>
              <w:t>部分符合，但有多項重要限制或可行性疑慮。</w:t>
            </w:r>
          </w:p>
        </w:tc>
        <w:tc>
          <w:tcPr>
            <w:tcW w:type="dxa" w:w="311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7"/>
              </w:rPr>
              <w:t>列出不足、風險及可能補正。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7"/>
              </w:rPr>
              <w:t>3</w:t>
            </w:r>
          </w:p>
        </w:tc>
        <w:tc>
          <w:tcPr>
            <w:tcW w:type="dxa" w:w="572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7"/>
              </w:rPr>
              <w:t>符合基本需求，證據足以支持一般履行。</w:t>
            </w:r>
          </w:p>
        </w:tc>
        <w:tc>
          <w:tcPr>
            <w:tcW w:type="dxa" w:w="311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7"/>
              </w:rPr>
              <w:t>逐項連結規格及來源。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7"/>
              </w:rPr>
              <w:t>4</w:t>
            </w:r>
          </w:p>
        </w:tc>
        <w:tc>
          <w:tcPr>
            <w:tcW w:type="dxa" w:w="572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7"/>
              </w:rPr>
              <w:t>明確符合且有可核驗的較佳支援或品質證據。</w:t>
            </w:r>
          </w:p>
        </w:tc>
        <w:tc>
          <w:tcPr>
            <w:tcW w:type="dxa" w:w="311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7"/>
              </w:rPr>
              <w:t>說明優於基本規格之處。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7"/>
              </w:rPr>
              <w:t>5</w:t>
            </w:r>
          </w:p>
        </w:tc>
        <w:tc>
          <w:tcPr>
            <w:tcW w:type="dxa" w:w="572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7"/>
              </w:rPr>
              <w:t>高度符合，證據完整且可證明具明顯增加價值而無額外重大風險。</w:t>
            </w:r>
          </w:p>
        </w:tc>
        <w:tc>
          <w:tcPr>
            <w:tcW w:type="dxa" w:w="311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7"/>
              </w:rPr>
              <w:t>避免主觀形容詞；提出可查證依據。</w:t>
            </w:r>
          </w:p>
        </w:tc>
      </w:tr>
    </w:tbl>
    <w:p>
      <w:pPr>
        <w:spacing w:after="40"/>
      </w:pPr>
    </w:p>
    <w:p>
      <w:pPr>
        <w:keepLines w:val="0"/>
        <w:spacing w:before="0" w:after="100" w:line="271" w:lineRule="auto"/>
      </w:pPr>
      <w:r>
        <w:rPr>
          <w:rFonts w:ascii="Microsoft JhengHei" w:hAnsi="Microsoft JhengHei" w:eastAsia="Microsoft JhengHei"/>
          <w:sz w:val="18"/>
        </w:rPr>
        <w:t>建議加權總分＝Σ（各項評分 × 權重百分比 ÷ 100），總分範圍1至5。提案通過基準為總分至少3.8/5，且事前指定的關鍵項目至少3分、無重大資格／安全／法遵／權利風險未解。此門檻僅為待核定提案；正式核定版本及個案規格須先確定。</w:t>
      </w:r>
    </w:p>
    <w:p>
      <w:pPr>
        <w:keepLines w:val="0"/>
        <w:spacing w:before="0" w:after="100" w:line="271" w:lineRule="auto"/>
      </w:pPr>
      <w:r>
        <w:rPr>
          <w:rFonts w:ascii="Microsoft JhengHei" w:hAnsi="Microsoft JhengHei" w:eastAsia="Microsoft JhengHei"/>
          <w:sz w:val="18"/>
        </w:rPr>
        <w:t>缺少資料標示「待核實」，不自行設為0分、平均分或通過；承辦記錄補件期限與一致通知。若資料仍不足以判斷，標示不具可比性，不得推薦。加權分數是決策參考，不自動產生得標、任用或採購。分數相同時，先依預先核定的關鍵需求／風險及理由作比較，再送具權限者決定並記錄依據；不得由承辦以未公告規則破局。</w:t>
      </w: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/>
          <w:b/>
          <w:color w:val="173B57"/>
          <w:sz w:val="30"/>
        </w:rPr>
        <w:t>七、利益衝突揭露與迴避</w:t>
      </w:r>
    </w:p>
    <w:p>
      <w:pPr>
        <w:keepLines w:val="0"/>
        <w:spacing w:before="0" w:after="100" w:line="271" w:lineRule="auto"/>
      </w:pPr>
      <w:r>
        <w:rPr>
          <w:rFonts w:ascii="Microsoft JhengHei" w:hAnsi="Microsoft JhengHei" w:eastAsia="Microsoft JhengHei"/>
          <w:sz w:val="20"/>
        </w:rPr>
        <w:t>評選者、需求提出者、承辦窗口、核准參與者與驗收者（依其實際參與範圍），應於接觸候選者資料前，就本人或密切關係是否可能影響獨立判斷作成揭露。揭露不預設存在違失；由有權者依實際情形書面判斷是否限閱、迴避特定候選者／議題、退出評分或更換人員。</w:t>
      </w:r>
    </w:p>
    <w:p>
      <w:pPr>
        <w:pStyle w:val="ListBullet"/>
        <w:spacing w:after="50" w:line="259" w:lineRule="auto"/>
        <w:ind w:left="369" w:hanging="142"/>
      </w:pPr>
      <w:r>
        <w:rPr>
          <w:rFonts w:ascii="Microsoft JhengHei" w:hAnsi="Microsoft JhengHei" w:eastAsia="Microsoft JhengHei"/>
          <w:color w:val="283441"/>
          <w:sz w:val="19"/>
        </w:rPr>
        <w:t>揭露內容包括關係類型、可能影響的候選者／評選項目、申報時間與支持資料；個人敏感資料僅收集處理所需範圍並依核定存取規則保管。</w:t>
      </w:r>
    </w:p>
    <w:p>
      <w:pPr>
        <w:pStyle w:val="ListBullet"/>
        <w:spacing w:after="50" w:line="259" w:lineRule="auto"/>
        <w:ind w:left="369" w:hanging="142"/>
      </w:pPr>
      <w:r>
        <w:rPr>
          <w:rFonts w:ascii="Microsoft JhengHei" w:hAnsi="Microsoft JhengHei" w:eastAsia="Microsoft JhengHei"/>
          <w:color w:val="283441"/>
          <w:sz w:val="19"/>
        </w:rPr>
        <w:t>判定人、處置理由、迴避範圍、替代審查者及其重新評分時點均須記錄。受迴避者不得影響候選資訊、評分或核准討論。</w:t>
      </w:r>
    </w:p>
    <w:p>
      <w:pPr>
        <w:pStyle w:val="ListBullet"/>
        <w:spacing w:after="50" w:line="259" w:lineRule="auto"/>
        <w:ind w:left="369" w:hanging="142"/>
      </w:pPr>
      <w:r>
        <w:rPr>
          <w:rFonts w:ascii="Microsoft JhengHei" w:hAnsi="Microsoft JhengHei" w:eastAsia="Microsoft JhengHei"/>
          <w:color w:val="283441"/>
          <w:sz w:val="19"/>
        </w:rPr>
        <w:t>無須迴避者亦須留存判定及理由；拒絕申報或發現未揭露事項時，暫停受影響評選，保全原始評分並由有權者決定是否重做。</w:t>
      </w:r>
    </w:p>
    <w:p>
      <w:pPr>
        <w:keepLines w:val="0"/>
        <w:spacing w:before="0" w:after="100" w:line="271" w:lineRule="auto"/>
      </w:pPr>
      <w:r>
        <w:rPr>
          <w:rFonts w:ascii="Microsoft JhengHei" w:hAnsi="Microsoft JhengHei" w:eastAsia="Microsoft JhengHei"/>
          <w:sz w:val="20"/>
        </w:rPr>
        <w:t>當案申報及處理欄位見附表C；不得在空白表單預填人名或預設「無衝突」。</w:t>
      </w: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/>
          <w:b/>
          <w:color w:val="173B57"/>
          <w:sz w:val="30"/>
        </w:rPr>
        <w:t>八、核准、採購與簽約控制</w:t>
      </w:r>
    </w:p>
    <w:p>
      <w:pPr>
        <w:keepLines w:val="0"/>
        <w:spacing w:before="0" w:after="100" w:line="271" w:lineRule="auto"/>
      </w:pPr>
      <w:r>
        <w:rPr>
          <w:rFonts w:ascii="Microsoft JhengHei" w:hAnsi="Microsoft JhengHei" w:eastAsia="Microsoft JhengHei"/>
          <w:sz w:val="20"/>
        </w:rPr>
        <w:t>核准前資料包至少包含：核定需求與規格版本、來源搜尋及候選資料、適任性檢核、衝突揭露／迴避、事前核定的標準／權重、原始評分及差異說明、比較結果、價格依據、風險與建議、預算來源、適用權限及擬採購範圍。資料不完整時退回補件，不以簡報結論替代原始紀錄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8C5D1"/>
          <w:left w:val="single" w:sz="5" w:space="0" w:color="B8C5D1"/>
          <w:bottom w:val="single" w:sz="5" w:space="0" w:color="B8C5D1"/>
          <w:right w:val="single" w:sz="5" w:space="0" w:color="B8C5D1"/>
          <w:insideH w:val="single" w:sz="5" w:space="0" w:color="B8C5D1"/>
          <w:insideV w:val="single" w:sz="5" w:space="0" w:color="B8C5D1"/>
        </w:tblBorders>
      </w:tblPr>
      <w:tblGrid>
        <w:gridCol w:w="1701"/>
        <w:gridCol w:w="5102"/>
        <w:gridCol w:w="3969"/>
      </w:tblGrid>
      <w:tr>
        <w:trPr>
          <w:tblHeader w:val="true"/>
          <w:cantSplit/>
        </w:trPr>
        <w:tc>
          <w:tcPr>
            <w:tcW w:type="dxa" w:w="170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B57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控制項</w:t>
            </w:r>
          </w:p>
        </w:tc>
        <w:tc>
          <w:tcPr>
            <w:tcW w:type="dxa" w:w="510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B57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個案執行要求</w:t>
            </w:r>
          </w:p>
        </w:tc>
        <w:tc>
          <w:tcPr>
            <w:tcW w:type="dxa" w:w="3969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B57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必留依據／狀態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7"/>
              </w:rPr>
              <w:t>權限與預算</w:t>
            </w:r>
          </w:p>
        </w:tc>
        <w:tc>
          <w:tcPr>
            <w:tcW w:type="dxa" w:w="510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7"/>
              </w:rPr>
              <w:t>確認核准者當時有有效權限；確認預算來源、用途及可用額度；依法／依正式內規需會議審議者，先完成該程序。</w:t>
            </w:r>
          </w:p>
        </w:tc>
        <w:tc>
          <w:tcPr>
            <w:tcW w:type="dxa" w:w="3969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7"/>
              </w:rPr>
              <w:t>核准文件、有效章程／決議／授權及預算依據；欄位待真實填列。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7"/>
              </w:rPr>
              <w:t>價格與採購</w:t>
            </w:r>
          </w:p>
        </w:tc>
        <w:tc>
          <w:tcPr>
            <w:tcW w:type="dxa" w:w="510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7"/>
              </w:rPr>
              <w:t>以同一範圍、數量／期間及計價條件比較；保存正式報價、計價依據、談判紀錄及例外理由。金額門檻不得由本草案創設。</w:t>
            </w:r>
          </w:p>
        </w:tc>
        <w:tc>
          <w:tcPr>
            <w:tcW w:type="dxa" w:w="3969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7"/>
              </w:rPr>
              <w:t>報價原件／電子郵件、成本估算方法、比價表、例外核准；未取得者標示待補。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7"/>
              </w:rPr>
              <w:t>契約／訂單</w:t>
            </w:r>
          </w:p>
        </w:tc>
        <w:tc>
          <w:tcPr>
            <w:tcW w:type="dxa" w:w="510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7"/>
              </w:rPr>
              <w:t>明確約定範圍、交付物、數量／時程、驗收、付款、變更、智慧財產／授權、個資與保密、安全、分包、終止與爭議處理。</w:t>
            </w:r>
          </w:p>
        </w:tc>
        <w:tc>
          <w:tcPr>
            <w:tcW w:type="dxa" w:w="3969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7"/>
              </w:rPr>
              <w:t>雙方正式簽署文件、版本、日期與簽署權限；尚未簽署時標示未簽約。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7"/>
              </w:rPr>
              <w:t>變更與例外</w:t>
            </w:r>
          </w:p>
        </w:tc>
        <w:tc>
          <w:tcPr>
            <w:tcW w:type="dxa" w:w="510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7"/>
              </w:rPr>
              <w:t>需求、價格、期間、交付或權利條件若重大變更，記錄差異、影響與重新核准；不得先變更後補核。</w:t>
            </w:r>
          </w:p>
        </w:tc>
        <w:tc>
          <w:tcPr>
            <w:tcW w:type="dxa" w:w="3969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7"/>
              </w:rPr>
              <w:t>變更單、分析、決策及新版契約／訂單。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7"/>
              </w:rPr>
              <w:t>支付與保全</w:t>
            </w:r>
          </w:p>
        </w:tc>
        <w:tc>
          <w:tcPr>
            <w:tcW w:type="dxa" w:w="510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7"/>
              </w:rPr>
              <w:t>驗收及付款依契約與正式財務流程；必要時核對發票／收據、交付憑證及扣款／保留款條件。</w:t>
            </w:r>
          </w:p>
        </w:tc>
        <w:tc>
          <w:tcPr>
            <w:tcW w:type="dxa" w:w="3969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7"/>
              </w:rPr>
              <w:t>驗收證明、帳務原始憑證、核銷簽核、異常處理。</w:t>
            </w:r>
          </w:p>
        </w:tc>
      </w:tr>
    </w:tbl>
    <w:p>
      <w:pPr>
        <w:spacing w:after="40"/>
      </w:pPr>
    </w:p>
    <w:p>
      <w:pPr>
        <w:keepLines w:val="0"/>
        <w:spacing w:before="0" w:after="100" w:line="271" w:lineRule="auto"/>
      </w:pPr>
      <w:r>
        <w:rPr>
          <w:rFonts w:ascii="Microsoft JhengHei" w:hAnsi="Microsoft JhengHei" w:eastAsia="Microsoft JhengHei"/>
          <w:sz w:val="18"/>
        </w:rPr>
        <w:t>官方資料表第3頁舉列重大採購核准或師資聘任決議的會議／審查紀錄作為可用佐證類型；本文件保留該類紀錄定位，但不將其改寫為普遍法定門檻、特定金額標準或協會既有決議。實際應採何種核准形式須先核對協會現行有效規範。</w:t>
      </w: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/>
          <w:b/>
          <w:color w:val="173B57"/>
          <w:sz w:val="30"/>
        </w:rPr>
        <w:t>九、交付驗收、履約檢討、續用與改善</w:t>
      </w:r>
    </w:p>
    <w:p>
      <w:pPr>
        <w:pStyle w:val="Heading2"/>
        <w:keepNext/>
        <w:spacing w:before="120" w:after="80"/>
      </w:pPr>
      <w:r>
        <w:rPr>
          <w:rFonts w:ascii="Microsoft JhengHei" w:hAnsi="Microsoft JhengHei" w:eastAsia="Microsoft JhengHei"/>
          <w:b/>
          <w:color w:val="173B57"/>
          <w:sz w:val="24"/>
        </w:rPr>
        <w:t>9.1 驗收</w:t>
      </w:r>
    </w:p>
    <w:p>
      <w:pPr>
        <w:keepLines w:val="0"/>
        <w:spacing w:before="0" w:after="100" w:line="271" w:lineRule="auto"/>
      </w:pPr>
      <w:r>
        <w:rPr>
          <w:rFonts w:ascii="Microsoft JhengHei" w:hAnsi="Microsoft JhengHei" w:eastAsia="Microsoft JhengHei"/>
          <w:sz w:val="20"/>
        </w:rPr>
        <w:t>驗收者依核准規格與已簽契約逐項檢查成果、數量、版本、交付日期、授權、品質、安全及其他承諾；保存交付件版本或可定位的檔案。每一項標示合格／不合格／待補，記錄檢查方法、缺失、改善責任與複驗。部分交付或有爭議時，依契約及正式財務規範處理，不推定全數合格或可以付款。</w:t>
      </w:r>
    </w:p>
    <w:p>
      <w:pPr>
        <w:pStyle w:val="Heading2"/>
        <w:keepNext/>
        <w:spacing w:before="120" w:after="80"/>
      </w:pPr>
      <w:r>
        <w:rPr>
          <w:rFonts w:ascii="Microsoft JhengHei" w:hAnsi="Microsoft JhengHei" w:eastAsia="Microsoft JhengHei"/>
          <w:b/>
          <w:color w:val="173B57"/>
          <w:sz w:val="24"/>
        </w:rPr>
        <w:t>9.2 績效指標及履約追蹤</w:t>
      </w:r>
    </w:p>
    <w:p>
      <w:pPr>
        <w:keepLines w:val="0"/>
        <w:spacing w:before="0" w:after="100" w:line="271" w:lineRule="auto"/>
      </w:pPr>
      <w:r>
        <w:rPr>
          <w:rFonts w:ascii="Microsoft JhengHei" w:hAnsi="Microsoft JhengHei" w:eastAsia="Microsoft JhengHei"/>
          <w:sz w:val="20"/>
        </w:rPr>
        <w:t>簽約或服務開始前，依交付範圍選擇可量測的KPI，填列目標、資料源、計算分母、檢查頻率、責任者與缺失通報方式。附表E的KPI觀察面向為提案選單，逐案選用；不等於協會目前已有供應商績效資料。履約達成率口徑依I10-E01要求為：完成KPI數 ÷ 應完成KPI數；應完成數為0時標示「不適用」並說明，不除以0。需同時保留KPI明細，不以單一百分比掩蓋未完成事項。</w:t>
      </w:r>
    </w:p>
    <w:p>
      <w:pPr>
        <w:pStyle w:val="Heading2"/>
        <w:keepNext/>
        <w:spacing w:before="120" w:after="80"/>
      </w:pPr>
      <w:r>
        <w:rPr>
          <w:rFonts w:ascii="Microsoft JhengHei" w:hAnsi="Microsoft JhengHei" w:eastAsia="Microsoft JhengHei"/>
          <w:b/>
          <w:color w:val="173B57"/>
          <w:sz w:val="24"/>
        </w:rPr>
        <w:t>9.3 續用、暫停、終止與改善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8C5D1"/>
          <w:left w:val="single" w:sz="5" w:space="0" w:color="B8C5D1"/>
          <w:bottom w:val="single" w:sz="5" w:space="0" w:color="B8C5D1"/>
          <w:right w:val="single" w:sz="5" w:space="0" w:color="B8C5D1"/>
          <w:insideH w:val="single" w:sz="5" w:space="0" w:color="B8C5D1"/>
          <w:insideV w:val="single" w:sz="5" w:space="0" w:color="B8C5D1"/>
        </w:tblBorders>
      </w:tblPr>
      <w:tblGrid>
        <w:gridCol w:w="1701"/>
        <w:gridCol w:w="4535"/>
        <w:gridCol w:w="4535"/>
      </w:tblGrid>
      <w:tr>
        <w:trPr>
          <w:tblHeader w:val="true"/>
          <w:cantSplit/>
        </w:trPr>
        <w:tc>
          <w:tcPr>
            <w:tcW w:type="dxa" w:w="170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B57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檢討結果</w:t>
            </w:r>
          </w:p>
        </w:tc>
        <w:tc>
          <w:tcPr>
            <w:tcW w:type="dxa" w:w="4535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B57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決策要點</w:t>
            </w:r>
          </w:p>
        </w:tc>
        <w:tc>
          <w:tcPr>
            <w:tcW w:type="dxa" w:w="4535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B57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後續控制／輸出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7"/>
              </w:rPr>
              <w:t>續用／續約</w:t>
            </w:r>
          </w:p>
        </w:tc>
        <w:tc>
          <w:tcPr>
            <w:tcW w:type="dxa" w:w="4535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7"/>
              </w:rPr>
              <w:t>重新確認真實需求、資格有效性、履約與改善證據、權利／風險、價格合理性與預算；續用不得自動展延。</w:t>
            </w:r>
          </w:p>
        </w:tc>
        <w:tc>
          <w:tcPr>
            <w:tcW w:type="dxa" w:w="4535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7"/>
              </w:rPr>
              <w:t>具權限者依正式程序核准；記錄期限、範圍、比較或例外依據。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7"/>
              </w:rPr>
              <w:t>限期改善</w:t>
            </w:r>
          </w:p>
        </w:tc>
        <w:tc>
          <w:tcPr>
            <w:tcW w:type="dxa" w:w="4535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7"/>
              </w:rPr>
              <w:t>列出具體缺失、可衡量改善要求、期限、驗證方法與未改善後果；與契約約定一致。</w:t>
            </w:r>
          </w:p>
        </w:tc>
        <w:tc>
          <w:tcPr>
            <w:tcW w:type="dxa" w:w="4535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7"/>
              </w:rPr>
              <w:t>改善通知、供應方回覆、複驗證據、關閉／未關閉判定。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7"/>
              </w:rPr>
              <w:t>暫停／停止使用</w:t>
            </w:r>
          </w:p>
        </w:tc>
        <w:tc>
          <w:tcPr>
            <w:tcW w:type="dxa" w:w="4535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7"/>
              </w:rPr>
              <w:t>存在安全、重大品質、權利、資料或資格疑慮時，先採取風險控制；依契約及有效權限處理。</w:t>
            </w:r>
          </w:p>
        </w:tc>
        <w:tc>
          <w:tcPr>
            <w:tcW w:type="dxa" w:w="4535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7"/>
              </w:rPr>
              <w:t>事件紀錄、影響評估、通知、替代安排及恢復條件。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7"/>
              </w:rPr>
              <w:t>終止／不再採用</w:t>
            </w:r>
          </w:p>
        </w:tc>
        <w:tc>
          <w:tcPr>
            <w:tcW w:type="dxa" w:w="4535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7"/>
              </w:rPr>
              <w:t>依契約條款與有效授權處置；記錄原因、未結付款／交付、資料返還／刪除、權利與替代資源。</w:t>
            </w:r>
          </w:p>
        </w:tc>
        <w:tc>
          <w:tcPr>
            <w:tcW w:type="dxa" w:w="4535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7"/>
              </w:rPr>
              <w:t>終止／不續用決議、通知、結清與檔案封存；禁止倒填績效。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7"/>
              </w:rPr>
              <w:t>重新遴選／改善制度</w:t>
            </w:r>
          </w:p>
        </w:tc>
        <w:tc>
          <w:tcPr>
            <w:tcW w:type="dxa" w:w="4535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7"/>
              </w:rPr>
              <w:t>分析規格、權重、搜尋、合約條款或監督設計是否造成偏差；不得只歸責候選者。</w:t>
            </w:r>
          </w:p>
        </w:tc>
        <w:tc>
          <w:tcPr>
            <w:tcW w:type="dxa" w:w="4535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7"/>
              </w:rPr>
              <w:t>修訂需求／程序版本、改善責任人及追蹤狀態；修訂須依核定程序。</w:t>
            </w:r>
          </w:p>
        </w:tc>
      </w:tr>
    </w:tbl>
    <w:p>
      <w:pPr>
        <w:spacing w:after="40"/>
      </w:pPr>
    </w:p>
    <w:p>
      <w:pPr>
        <w:keepLines w:val="0"/>
        <w:spacing w:before="0" w:after="100" w:line="271" w:lineRule="auto"/>
      </w:pPr>
      <w:r>
        <w:rPr>
          <w:rFonts w:ascii="Microsoft JhengHei" w:hAnsi="Microsoft JhengHei" w:eastAsia="Microsoft JhengHei"/>
          <w:sz w:val="20"/>
        </w:rPr>
        <w:t>後評結論須區分事實、來源、計算與判斷；如資料未取得、樣本不足或無法歸因，應揭露限制而不是補估為實績。</w:t>
      </w: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/>
          <w:b/>
          <w:color w:val="173B57"/>
          <w:sz w:val="30"/>
        </w:rPr>
        <w:t>十、紀錄、存取與版本控制</w:t>
      </w:r>
    </w:p>
    <w:p>
      <w:pPr>
        <w:keepLines w:val="0"/>
        <w:spacing w:before="0" w:after="100" w:line="271" w:lineRule="auto"/>
      </w:pPr>
      <w:r>
        <w:rPr>
          <w:rFonts w:ascii="Microsoft JhengHei" w:hAnsi="Microsoft JhengHei" w:eastAsia="Microsoft JhengHei"/>
          <w:sz w:val="20"/>
        </w:rPr>
        <w:t>當案資料至少包含需求與規格版本、搜尋來源、候選回覆、資格證據、事前標準與權重、利益衝突與迴避、原始評分和比較、核准依據、報價與採購文件、契約版本、驗收、履約KPI、缺失與改善、續用／停用／終止決定及財務憑證（若適用）。每一項列唯一案件識別碼、建立／核准日期、文件版本、保管位置及存取權限。</w:t>
      </w:r>
    </w:p>
    <w:p>
      <w:pPr>
        <w:pStyle w:val="ListBullet"/>
        <w:spacing w:after="50" w:line="259" w:lineRule="auto"/>
        <w:ind w:left="369" w:hanging="142"/>
      </w:pPr>
      <w:r>
        <w:rPr>
          <w:rFonts w:ascii="Microsoft JhengHei" w:hAnsi="Microsoft JhengHei" w:eastAsia="Microsoft JhengHei"/>
          <w:color w:val="283441"/>
          <w:sz w:val="19"/>
        </w:rPr>
        <w:t>保存期間：依協會正式核定的保存年限表及當時適用要求填列；本草案不創設年限。正式年限核定前，不得任意銷毀與案件有關的原始紀錄。</w:t>
      </w:r>
    </w:p>
    <w:p>
      <w:pPr>
        <w:pStyle w:val="ListBullet"/>
        <w:spacing w:after="50" w:line="259" w:lineRule="auto"/>
        <w:ind w:left="369" w:hanging="142"/>
      </w:pPr>
      <w:r>
        <w:rPr>
          <w:rFonts w:ascii="Microsoft JhengHei" w:hAnsi="Microsoft JhengHei" w:eastAsia="Microsoft JhengHei"/>
          <w:color w:val="283441"/>
          <w:sz w:val="19"/>
        </w:rPr>
        <w:t>保護候選者個人資料、營業資料、報價、契約及限制閱覽內容；僅依合法且經核定的職務需要存取，對外提供前先確認授權與去識別需要。</w:t>
      </w:r>
    </w:p>
    <w:p>
      <w:pPr>
        <w:pStyle w:val="ListBullet"/>
        <w:spacing w:after="50" w:line="259" w:lineRule="auto"/>
        <w:ind w:left="369" w:hanging="142"/>
      </w:pPr>
      <w:r>
        <w:rPr>
          <w:rFonts w:ascii="Microsoft JhengHei" w:hAnsi="Microsoft JhengHei" w:eastAsia="Microsoft JhengHei"/>
          <w:color w:val="283441"/>
          <w:sz w:val="19"/>
        </w:rPr>
        <w:t>更正採新增版本、日期、理由、經手人與核定人；保留原始版本及更正軌跡，不覆寫已核定結果。電子資料定期確認可讀性與備份依正式規則執行。</w:t>
      </w:r>
    </w:p>
    <w:p>
      <w:pPr>
        <w:pStyle w:val="ListBullet"/>
        <w:spacing w:after="50" w:line="259" w:lineRule="auto"/>
        <w:ind w:left="369" w:hanging="142"/>
      </w:pPr>
      <w:r>
        <w:rPr>
          <w:rFonts w:ascii="Microsoft JhengHei" w:hAnsi="Microsoft JhengHei" w:eastAsia="Microsoft JhengHei"/>
          <w:color w:val="283441"/>
          <w:sz w:val="19"/>
        </w:rPr>
        <w:t>本文件正式採用後，每次修訂均註明版次、生效日、核准依據、變更摘要與舊版撤回方式；草案期間不得標示為已核定或有效版本。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8C5D1"/>
          <w:left w:val="single" w:sz="5" w:space="0" w:color="B8C5D1"/>
          <w:bottom w:val="single" w:sz="5" w:space="0" w:color="B8C5D1"/>
          <w:right w:val="single" w:sz="5" w:space="0" w:color="B8C5D1"/>
          <w:insideH w:val="single" w:sz="5" w:space="0" w:color="B8C5D1"/>
          <w:insideV w:val="single" w:sz="5" w:space="0" w:color="B8C5D1"/>
        </w:tblBorders>
      </w:tblPr>
      <w:tblGrid>
        <w:gridCol w:w="2041"/>
        <w:gridCol w:w="4422"/>
        <w:gridCol w:w="2268"/>
        <w:gridCol w:w="2041"/>
      </w:tblGrid>
      <w:tr>
        <w:trPr>
          <w:tblHeader w:val="true"/>
          <w:cantSplit/>
        </w:trPr>
        <w:tc>
          <w:tcPr>
            <w:tcW w:type="dxa" w:w="204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B57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案件／資料夾識別</w:t>
            </w:r>
          </w:p>
        </w:tc>
        <w:tc>
          <w:tcPr>
            <w:tcW w:type="dxa" w:w="442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B57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應建檔的核心子項</w:t>
            </w:r>
          </w:p>
        </w:tc>
        <w:tc>
          <w:tcPr>
            <w:tcW w:type="dxa" w:w="226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B57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保管位置／權限</w:t>
            </w:r>
          </w:p>
        </w:tc>
        <w:tc>
          <w:tcPr>
            <w:tcW w:type="dxa" w:w="204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B57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保存期限／處理狀態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7"/>
              </w:rPr>
              <w:t>留白；實案建立</w:t>
            </w:r>
          </w:p>
        </w:tc>
        <w:tc>
          <w:tcPr>
            <w:tcW w:type="dxa" w:w="442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7"/>
              </w:rPr>
              <w:t>01 需求規格　02 搜尋候選　03 資格評估　04 衝突迴避　05 評分比較</w:t>
            </w:r>
          </w:p>
        </w:tc>
        <w:tc>
          <w:tcPr>
            <w:tcW w:type="dxa" w:w="226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7"/>
              </w:rPr>
              <w:t>留白；待正式規則</w:t>
            </w:r>
          </w:p>
        </w:tc>
        <w:tc>
          <w:tcPr>
            <w:tcW w:type="dxa" w:w="204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7"/>
              </w:rPr>
              <w:t>留白；依正式保存表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7"/>
              </w:rPr>
              <w:t>同一案件識別碼</w:t>
            </w:r>
          </w:p>
        </w:tc>
        <w:tc>
          <w:tcPr>
            <w:tcW w:type="dxa" w:w="442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7"/>
              </w:rPr>
              <w:t>06 核准　07 採購報價　08 契約　09 驗收　10 KPI與缺失改善</w:t>
            </w:r>
          </w:p>
        </w:tc>
        <w:tc>
          <w:tcPr>
            <w:tcW w:type="dxa" w:w="226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7"/>
              </w:rPr>
              <w:t>留白；限必要授權角色</w:t>
            </w:r>
          </w:p>
        </w:tc>
        <w:tc>
          <w:tcPr>
            <w:tcW w:type="dxa" w:w="204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7"/>
              </w:rPr>
              <w:t>留白；依正式保存表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7"/>
              </w:rPr>
              <w:t>同一案件識別碼</w:t>
            </w:r>
          </w:p>
        </w:tc>
        <w:tc>
          <w:tcPr>
            <w:tcW w:type="dxa" w:w="442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7"/>
              </w:rPr>
              <w:t>11 後評續用／終止　12 財務憑證　13 修訂軌跡／退件紀錄</w:t>
            </w:r>
          </w:p>
        </w:tc>
        <w:tc>
          <w:tcPr>
            <w:tcW w:type="dxa" w:w="226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7"/>
              </w:rPr>
              <w:t>留白；敏感資料分級</w:t>
            </w:r>
          </w:p>
        </w:tc>
        <w:tc>
          <w:tcPr>
            <w:tcW w:type="dxa" w:w="204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7"/>
              </w:rPr>
              <w:t>留白；依正式保存表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/>
          <w:b/>
          <w:color w:val="173B57"/>
          <w:sz w:val="30"/>
        </w:rPr>
        <w:t>附表A｜需求與規格確認單（每案填寫）</w:t>
      </w:r>
    </w:p>
    <w:p>
      <w:pPr>
        <w:keepLines w:val="0"/>
        <w:spacing w:before="0" w:after="100" w:line="271" w:lineRule="auto"/>
      </w:pPr>
      <w:r>
        <w:rPr>
          <w:rFonts w:ascii="Microsoft JhengHei" w:hAnsi="Microsoft JhengHei" w:eastAsia="Microsoft JhengHei"/>
          <w:sz w:val="18"/>
        </w:rPr>
        <w:t>以下均為空白欄位。候選者接觸前填妥並依協會有效規則核定規格；非實際資料不得填入。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8C5D1"/>
          <w:left w:val="single" w:sz="5" w:space="0" w:color="B8C5D1"/>
          <w:bottom w:val="single" w:sz="5" w:space="0" w:color="B8C5D1"/>
          <w:right w:val="single" w:sz="5" w:space="0" w:color="B8C5D1"/>
          <w:insideH w:val="single" w:sz="5" w:space="0" w:color="B8C5D1"/>
          <w:insideV w:val="single" w:sz="5" w:space="0" w:color="B8C5D1"/>
        </w:tblBorders>
      </w:tblPr>
      <w:tblGrid>
        <w:gridCol w:w="3855"/>
        <w:gridCol w:w="6917"/>
      </w:tblGrid>
      <w:tr>
        <w:trPr>
          <w:tblHeader w:val="true"/>
          <w:cantSplit/>
        </w:trPr>
        <w:tc>
          <w:tcPr>
            <w:tcW w:type="dxa" w:w="3855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B57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欄位</w:t>
            </w:r>
          </w:p>
        </w:tc>
        <w:tc>
          <w:tcPr>
            <w:tcW w:type="dxa" w:w="691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B57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當案記錄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7"/>
              </w:rPr>
              <w:t>案件識別碼／課程或設計需要</w:t>
            </w:r>
          </w:p>
        </w:tc>
        <w:tc>
          <w:tcPr>
            <w:tcW w:type="dxa" w:w="691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7"/>
              </w:rPr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7"/>
              </w:rPr>
              <w:t>需求來源、缺口與必要性（附原始依據位置）</w:t>
            </w:r>
          </w:p>
        </w:tc>
        <w:tc>
          <w:tcPr>
            <w:tcW w:type="dxa" w:w="691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7"/>
              </w:rPr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7"/>
              </w:rPr>
              <w:t>資源類型（師資／教材／服務廠商／其他）與理由</w:t>
            </w:r>
          </w:p>
        </w:tc>
        <w:tc>
          <w:tcPr>
            <w:tcW w:type="dxa" w:w="691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7"/>
              </w:rPr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7"/>
              </w:rPr>
              <w:t>需求提出者／日期／審查者／核定依據</w:t>
            </w:r>
          </w:p>
        </w:tc>
        <w:tc>
          <w:tcPr>
            <w:tcW w:type="dxa" w:w="691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7"/>
              </w:rPr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7"/>
              </w:rPr>
              <w:t>與協會核心定位及課程範圍之關聯；其他訓練輸入之市場／資源理由</w:t>
            </w:r>
          </w:p>
        </w:tc>
        <w:tc>
          <w:tcPr>
            <w:tcW w:type="dxa" w:w="691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7"/>
              </w:rPr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7"/>
              </w:rPr>
              <w:t>工作範圍、交付物、適用對象、版本／數量／時程／地點</w:t>
            </w:r>
          </w:p>
        </w:tc>
        <w:tc>
          <w:tcPr>
            <w:tcW w:type="dxa" w:w="691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7"/>
              </w:rPr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7"/>
              </w:rPr>
              <w:t>必要資格／經驗／品質／安全／權利／個資／保密條件</w:t>
            </w:r>
          </w:p>
        </w:tc>
        <w:tc>
          <w:tcPr>
            <w:tcW w:type="dxa" w:w="691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7"/>
              </w:rPr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7"/>
              </w:rPr>
              <w:t>預算來源與正式核准限額（未核定不得填估值）</w:t>
            </w:r>
          </w:p>
        </w:tc>
        <w:tc>
          <w:tcPr>
            <w:tcW w:type="dxa" w:w="691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7"/>
              </w:rPr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7"/>
              </w:rPr>
              <w:t>事前核定評選項目、權重、評分尺度、通過門檻及核准記錄位置</w:t>
            </w:r>
          </w:p>
        </w:tc>
        <w:tc>
          <w:tcPr>
            <w:tcW w:type="dxa" w:w="691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7"/>
              </w:rPr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7"/>
              </w:rPr>
              <w:t>驗收方式、證據、缺失改善及複驗條件</w:t>
            </w:r>
          </w:p>
        </w:tc>
        <w:tc>
          <w:tcPr>
            <w:tcW w:type="dxa" w:w="691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7"/>
              </w:rPr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7"/>
              </w:rPr>
              <w:t>候選來源搜尋方式、時間範圍、負責人、可比性限制</w:t>
            </w:r>
          </w:p>
        </w:tc>
        <w:tc>
          <w:tcPr>
            <w:tcW w:type="dxa" w:w="691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7"/>
              </w:rPr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7"/>
              </w:rPr>
              <w:t>適用規範查核者、查核日期及官方／有效內規定位</w:t>
            </w:r>
          </w:p>
        </w:tc>
        <w:tc>
          <w:tcPr>
            <w:tcW w:type="dxa" w:w="691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7"/>
              </w:rPr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7"/>
              </w:rPr>
              <w:t>需求版本、變更原因、核准者／依據</w:t>
            </w:r>
          </w:p>
        </w:tc>
        <w:tc>
          <w:tcPr>
            <w:tcW w:type="dxa" w:w="691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7"/>
              </w:rPr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/>
          <w:b/>
          <w:color w:val="173B57"/>
          <w:sz w:val="30"/>
        </w:rPr>
        <w:t>附表B｜候選資源資格、品質、價格、風險與總評比較表</w:t>
      </w:r>
    </w:p>
    <w:p>
      <w:pPr>
        <w:keepLines w:val="0"/>
        <w:spacing w:before="0" w:after="100" w:line="271" w:lineRule="auto"/>
      </w:pPr>
      <w:r>
        <w:rPr>
          <w:rFonts w:ascii="Microsoft JhengHei" w:hAnsi="Microsoft JhengHei" w:eastAsia="Microsoft JhengHei"/>
          <w:sz w:val="18"/>
        </w:rPr>
        <w:t>只在正式核定的事前標準已生效後使用。下列候選欄為空白表單欄位，不代表已有候選人；正式案件須將來源與證據定位逐項填實。</w:t>
      </w:r>
    </w:p>
    <w:p>
      <w:pPr>
        <w:sectPr>
          <w:headerReference w:type="default" r:id="rId9"/>
          <w:footerReference w:type="default" r:id="rId10"/>
          <w:pgSz w:w="11906" w:h="16838"/>
          <w:pgMar w:top="935" w:right="1020" w:bottom="935" w:left="1020" w:header="425" w:footer="425" w:gutter="0"/>
          <w:cols w:space="720"/>
          <w:docGrid w:linePitch="360"/>
        </w:sectPr>
      </w:pP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/>
          <w:b/>
          <w:color w:val="173B57"/>
          <w:sz w:val="30"/>
        </w:rPr>
        <w:t>附表B-1｜候選資源摘要比較（欄位一至三為空白欄位）</w:t>
      </w:r>
    </w:p>
    <w:p>
      <w:pPr>
        <w:keepLines w:val="0"/>
        <w:spacing w:before="0" w:after="100" w:line="271" w:lineRule="auto"/>
      </w:pPr>
      <w:r>
        <w:rPr>
          <w:rFonts w:ascii="Microsoft JhengHei" w:hAnsi="Microsoft JhengHei" w:eastAsia="Microsoft JhengHei"/>
          <w:sz w:val="18"/>
        </w:rPr>
        <w:t>候選欄位識別：＿＿＿＿　需求／規格版本：＿＿＿＿　標準核定文件位置：＿＿＿＿　評選日期：＿＿＿＿　評選者：＿＿＿＿　利益衝突檢核：＿＿＿＿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8C5D1"/>
          <w:left w:val="single" w:sz="5" w:space="0" w:color="B8C5D1"/>
          <w:bottom w:val="single" w:sz="5" w:space="0" w:color="B8C5D1"/>
          <w:right w:val="single" w:sz="5" w:space="0" w:color="B8C5D1"/>
          <w:insideH w:val="single" w:sz="5" w:space="0" w:color="B8C5D1"/>
          <w:insideV w:val="single" w:sz="5" w:space="0" w:color="B8C5D1"/>
        </w:tblBorders>
      </w:tblPr>
      <w:tblGrid>
        <w:gridCol w:w="3118"/>
        <w:gridCol w:w="3827"/>
        <w:gridCol w:w="3827"/>
        <w:gridCol w:w="3827"/>
      </w:tblGrid>
      <w:tr>
        <w:trPr>
          <w:tblHeader w:val="true"/>
          <w:cantSplit/>
        </w:trPr>
        <w:tc>
          <w:tcPr>
            <w:tcW w:type="dxa" w:w="311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B57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比較欄位</w:t>
            </w:r>
          </w:p>
        </w:tc>
        <w:tc>
          <w:tcPr>
            <w:tcW w:type="dxa" w:w="382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B57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候選欄位一（留白）</w:t>
            </w:r>
          </w:p>
        </w:tc>
        <w:tc>
          <w:tcPr>
            <w:tcW w:type="dxa" w:w="382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B57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候選欄位二（留白）</w:t>
            </w:r>
          </w:p>
        </w:tc>
        <w:tc>
          <w:tcPr>
            <w:tcW w:type="dxa" w:w="382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B57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候選欄位三（留白）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7"/>
              </w:rPr>
              <w:t>來源／資源識別與日期</w:t>
            </w:r>
          </w:p>
        </w:tc>
        <w:tc>
          <w:tcPr>
            <w:tcW w:type="dxa" w:w="382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7"/>
              </w:rPr>
            </w:r>
          </w:p>
        </w:tc>
        <w:tc>
          <w:tcPr>
            <w:tcW w:type="dxa" w:w="382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7"/>
              </w:rPr>
            </w:r>
          </w:p>
        </w:tc>
        <w:tc>
          <w:tcPr>
            <w:tcW w:type="dxa" w:w="382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7"/>
              </w:rPr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7"/>
              </w:rPr>
              <w:t>資格與必要門檻（通過／不通過／待核實；證據）</w:t>
            </w:r>
          </w:p>
        </w:tc>
        <w:tc>
          <w:tcPr>
            <w:tcW w:type="dxa" w:w="382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7"/>
              </w:rPr>
            </w:r>
          </w:p>
        </w:tc>
        <w:tc>
          <w:tcPr>
            <w:tcW w:type="dxa" w:w="382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7"/>
              </w:rPr>
            </w:r>
          </w:p>
        </w:tc>
        <w:tc>
          <w:tcPr>
            <w:tcW w:type="dxa" w:w="382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7"/>
              </w:rPr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7"/>
              </w:rPr>
              <w:t>需求適配與內容／服務品質（證據／差異）</w:t>
            </w:r>
          </w:p>
        </w:tc>
        <w:tc>
          <w:tcPr>
            <w:tcW w:type="dxa" w:w="382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7"/>
              </w:rPr>
            </w:r>
          </w:p>
        </w:tc>
        <w:tc>
          <w:tcPr>
            <w:tcW w:type="dxa" w:w="382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7"/>
              </w:rPr>
            </w:r>
          </w:p>
        </w:tc>
        <w:tc>
          <w:tcPr>
            <w:tcW w:type="dxa" w:w="382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7"/>
              </w:rPr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7"/>
              </w:rPr>
              <w:t>價格／全生命週期成本（正式文件、範圍與計價基礎）</w:t>
            </w:r>
          </w:p>
        </w:tc>
        <w:tc>
          <w:tcPr>
            <w:tcW w:type="dxa" w:w="382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7"/>
              </w:rPr>
            </w:r>
          </w:p>
        </w:tc>
        <w:tc>
          <w:tcPr>
            <w:tcW w:type="dxa" w:w="382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7"/>
              </w:rPr>
            </w:r>
          </w:p>
        </w:tc>
        <w:tc>
          <w:tcPr>
            <w:tcW w:type="dxa" w:w="382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7"/>
              </w:rPr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7"/>
              </w:rPr>
              <w:t>風險、權利、資料與安全控制（已解／待解）</w:t>
            </w:r>
          </w:p>
        </w:tc>
        <w:tc>
          <w:tcPr>
            <w:tcW w:type="dxa" w:w="382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7"/>
              </w:rPr>
            </w:r>
          </w:p>
        </w:tc>
        <w:tc>
          <w:tcPr>
            <w:tcW w:type="dxa" w:w="382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7"/>
              </w:rPr>
            </w:r>
          </w:p>
        </w:tc>
        <w:tc>
          <w:tcPr>
            <w:tcW w:type="dxa" w:w="382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7"/>
              </w:rPr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7"/>
              </w:rPr>
              <w:t>交付能力、時程與支援（證據）</w:t>
            </w:r>
          </w:p>
        </w:tc>
        <w:tc>
          <w:tcPr>
            <w:tcW w:type="dxa" w:w="382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7"/>
              </w:rPr>
            </w:r>
          </w:p>
        </w:tc>
        <w:tc>
          <w:tcPr>
            <w:tcW w:type="dxa" w:w="382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7"/>
              </w:rPr>
            </w:r>
          </w:p>
        </w:tc>
        <w:tc>
          <w:tcPr>
            <w:tcW w:type="dxa" w:w="382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7"/>
              </w:rPr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7"/>
              </w:rPr>
              <w:t>加權總分／關鍵門檻／計算覆核</w:t>
            </w:r>
          </w:p>
        </w:tc>
        <w:tc>
          <w:tcPr>
            <w:tcW w:type="dxa" w:w="382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7"/>
              </w:rPr>
            </w:r>
          </w:p>
        </w:tc>
        <w:tc>
          <w:tcPr>
            <w:tcW w:type="dxa" w:w="382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7"/>
              </w:rPr>
            </w:r>
          </w:p>
        </w:tc>
        <w:tc>
          <w:tcPr>
            <w:tcW w:type="dxa" w:w="382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7"/>
              </w:rPr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7"/>
              </w:rPr>
              <w:t>審查者推薦／理由／限制</w:t>
            </w:r>
          </w:p>
        </w:tc>
        <w:tc>
          <w:tcPr>
            <w:tcW w:type="dxa" w:w="382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7"/>
              </w:rPr>
            </w:r>
          </w:p>
        </w:tc>
        <w:tc>
          <w:tcPr>
            <w:tcW w:type="dxa" w:w="382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7"/>
              </w:rPr>
            </w:r>
          </w:p>
        </w:tc>
        <w:tc>
          <w:tcPr>
            <w:tcW w:type="dxa" w:w="382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7"/>
              </w:rPr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7"/>
              </w:rPr>
              <w:t>有權者決議／理由／核准依據與日期</w:t>
            </w:r>
          </w:p>
        </w:tc>
        <w:tc>
          <w:tcPr>
            <w:tcW w:type="dxa" w:w="382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7"/>
              </w:rPr>
            </w:r>
          </w:p>
        </w:tc>
        <w:tc>
          <w:tcPr>
            <w:tcW w:type="dxa" w:w="382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7"/>
              </w:rPr>
            </w:r>
          </w:p>
        </w:tc>
        <w:tc>
          <w:tcPr>
            <w:tcW w:type="dxa" w:w="382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7"/>
              </w:rPr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7"/>
              </w:rPr>
              <w:t>證據檔案位置／版本／覆核者</w:t>
            </w:r>
          </w:p>
        </w:tc>
        <w:tc>
          <w:tcPr>
            <w:tcW w:type="dxa" w:w="382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7"/>
              </w:rPr>
            </w:r>
          </w:p>
        </w:tc>
        <w:tc>
          <w:tcPr>
            <w:tcW w:type="dxa" w:w="382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7"/>
              </w:rPr>
            </w:r>
          </w:p>
        </w:tc>
        <w:tc>
          <w:tcPr>
            <w:tcW w:type="dxa" w:w="382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7"/>
              </w:rPr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/>
          <w:b/>
          <w:color w:val="173B57"/>
          <w:sz w:val="30"/>
        </w:rPr>
        <w:t>附表B-2｜加權評分明細（各評分須附證據及文字理由）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8C5D1"/>
          <w:left w:val="single" w:sz="5" w:space="0" w:color="B8C5D1"/>
          <w:bottom w:val="single" w:sz="5" w:space="0" w:color="B8C5D1"/>
          <w:right w:val="single" w:sz="5" w:space="0" w:color="B8C5D1"/>
          <w:insideH w:val="single" w:sz="5" w:space="0" w:color="B8C5D1"/>
          <w:insideV w:val="single" w:sz="5" w:space="0" w:color="B8C5D1"/>
        </w:tblBorders>
      </w:tblPr>
      <w:tblGrid>
        <w:gridCol w:w="2721"/>
        <w:gridCol w:w="2494"/>
        <w:gridCol w:w="3061"/>
        <w:gridCol w:w="2098"/>
        <w:gridCol w:w="2098"/>
        <w:gridCol w:w="2098"/>
      </w:tblGrid>
      <w:tr>
        <w:trPr>
          <w:tblHeader w:val="true"/>
          <w:cantSplit/>
        </w:trPr>
        <w:tc>
          <w:tcPr>
            <w:tcW w:type="dxa" w:w="272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B57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事前核定評分項目</w:t>
            </w:r>
          </w:p>
        </w:tc>
        <w:tc>
          <w:tcPr>
            <w:tcW w:type="dxa" w:w="249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B57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權重提案／核定值</w:t>
            </w:r>
          </w:p>
        </w:tc>
        <w:tc>
          <w:tcPr>
            <w:tcW w:type="dxa" w:w="306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B57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評分證據與理由要求</w:t>
            </w:r>
          </w:p>
        </w:tc>
        <w:tc>
          <w:tcPr>
            <w:tcW w:type="dxa" w:w="209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B57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候選欄一分數／證據</w:t>
            </w:r>
          </w:p>
        </w:tc>
        <w:tc>
          <w:tcPr>
            <w:tcW w:type="dxa" w:w="209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B57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候選欄二分數／證據</w:t>
            </w:r>
          </w:p>
        </w:tc>
        <w:tc>
          <w:tcPr>
            <w:tcW w:type="dxa" w:w="209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B57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候選欄三分數／證據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5"/>
              </w:rPr>
              <w:t>需求／課程適配</w:t>
            </w:r>
          </w:p>
        </w:tc>
        <w:tc>
          <w:tcPr>
            <w:tcW w:type="dxa" w:w="249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5"/>
              </w:rPr>
              <w:t>25%提案；核定：＿＿</w:t>
            </w:r>
          </w:p>
        </w:tc>
        <w:tc>
          <w:tcPr>
            <w:tcW w:type="dxa" w:w="306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5"/>
              </w:rPr>
              <w:t>逐項連結核定規格</w:t>
            </w:r>
          </w:p>
        </w:tc>
        <w:tc>
          <w:tcPr>
            <w:tcW w:type="dxa" w:w="209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5"/>
              </w:rPr>
            </w:r>
          </w:p>
        </w:tc>
        <w:tc>
          <w:tcPr>
            <w:tcW w:type="dxa" w:w="209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5"/>
              </w:rPr>
            </w:r>
          </w:p>
        </w:tc>
        <w:tc>
          <w:tcPr>
            <w:tcW w:type="dxa" w:w="209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5"/>
              </w:rPr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5"/>
              </w:rPr>
              <w:t>可驗證資格／專業證據</w:t>
            </w:r>
          </w:p>
        </w:tc>
        <w:tc>
          <w:tcPr>
            <w:tcW w:type="dxa" w:w="249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5"/>
              </w:rPr>
              <w:t>20%提案；核定：＿＿</w:t>
            </w:r>
          </w:p>
        </w:tc>
        <w:tc>
          <w:tcPr>
            <w:tcW w:type="dxa" w:w="306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5"/>
              </w:rPr>
              <w:t>列核驗來源及有效狀態</w:t>
            </w:r>
          </w:p>
        </w:tc>
        <w:tc>
          <w:tcPr>
            <w:tcW w:type="dxa" w:w="209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5"/>
              </w:rPr>
            </w:r>
          </w:p>
        </w:tc>
        <w:tc>
          <w:tcPr>
            <w:tcW w:type="dxa" w:w="209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5"/>
              </w:rPr>
            </w:r>
          </w:p>
        </w:tc>
        <w:tc>
          <w:tcPr>
            <w:tcW w:type="dxa" w:w="209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5"/>
              </w:rPr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5"/>
              </w:rPr>
              <w:t>內容／服務品質</w:t>
            </w:r>
          </w:p>
        </w:tc>
        <w:tc>
          <w:tcPr>
            <w:tcW w:type="dxa" w:w="249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5"/>
              </w:rPr>
              <w:t>20%提案；核定：＿＿</w:t>
            </w:r>
          </w:p>
        </w:tc>
        <w:tc>
          <w:tcPr>
            <w:tcW w:type="dxa" w:w="306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5"/>
              </w:rPr>
              <w:t>列樣本、觀察及評語依據</w:t>
            </w:r>
          </w:p>
        </w:tc>
        <w:tc>
          <w:tcPr>
            <w:tcW w:type="dxa" w:w="209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5"/>
              </w:rPr>
            </w:r>
          </w:p>
        </w:tc>
        <w:tc>
          <w:tcPr>
            <w:tcW w:type="dxa" w:w="209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5"/>
              </w:rPr>
            </w:r>
          </w:p>
        </w:tc>
        <w:tc>
          <w:tcPr>
            <w:tcW w:type="dxa" w:w="209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5"/>
              </w:rPr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5"/>
              </w:rPr>
              <w:t>安全／適用規範／權利／資料控制</w:t>
            </w:r>
          </w:p>
        </w:tc>
        <w:tc>
          <w:tcPr>
            <w:tcW w:type="dxa" w:w="249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5"/>
              </w:rPr>
              <w:t>15%提案；核定：＿＿</w:t>
            </w:r>
          </w:p>
        </w:tc>
        <w:tc>
          <w:tcPr>
            <w:tcW w:type="dxa" w:w="306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5"/>
              </w:rPr>
              <w:t>列適用控制及未解風險</w:t>
            </w:r>
          </w:p>
        </w:tc>
        <w:tc>
          <w:tcPr>
            <w:tcW w:type="dxa" w:w="209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5"/>
              </w:rPr>
            </w:r>
          </w:p>
        </w:tc>
        <w:tc>
          <w:tcPr>
            <w:tcW w:type="dxa" w:w="209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5"/>
              </w:rPr>
            </w:r>
          </w:p>
        </w:tc>
        <w:tc>
          <w:tcPr>
            <w:tcW w:type="dxa" w:w="209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5"/>
              </w:rPr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5"/>
              </w:rPr>
              <w:t>交付能力／時程／支援</w:t>
            </w:r>
          </w:p>
        </w:tc>
        <w:tc>
          <w:tcPr>
            <w:tcW w:type="dxa" w:w="249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5"/>
              </w:rPr>
              <w:t>10%提案；核定：＿＿</w:t>
            </w:r>
          </w:p>
        </w:tc>
        <w:tc>
          <w:tcPr>
            <w:tcW w:type="dxa" w:w="306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5"/>
              </w:rPr>
              <w:t>列能力及時程證據</w:t>
            </w:r>
          </w:p>
        </w:tc>
        <w:tc>
          <w:tcPr>
            <w:tcW w:type="dxa" w:w="209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5"/>
              </w:rPr>
            </w:r>
          </w:p>
        </w:tc>
        <w:tc>
          <w:tcPr>
            <w:tcW w:type="dxa" w:w="209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5"/>
              </w:rPr>
            </w:r>
          </w:p>
        </w:tc>
        <w:tc>
          <w:tcPr>
            <w:tcW w:type="dxa" w:w="209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5"/>
              </w:rPr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5"/>
              </w:rPr>
              <w:t>全生命週期成本合理性</w:t>
            </w:r>
          </w:p>
        </w:tc>
        <w:tc>
          <w:tcPr>
            <w:tcW w:type="dxa" w:w="249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5"/>
              </w:rPr>
              <w:t>10%提案；核定：＿＿</w:t>
            </w:r>
          </w:p>
        </w:tc>
        <w:tc>
          <w:tcPr>
            <w:tcW w:type="dxa" w:w="306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5"/>
              </w:rPr>
              <w:t>列正式價格來源、比較基礎及附加成本</w:t>
            </w:r>
          </w:p>
        </w:tc>
        <w:tc>
          <w:tcPr>
            <w:tcW w:type="dxa" w:w="209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5"/>
              </w:rPr>
            </w:r>
          </w:p>
        </w:tc>
        <w:tc>
          <w:tcPr>
            <w:tcW w:type="dxa" w:w="209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5"/>
              </w:rPr>
            </w:r>
          </w:p>
        </w:tc>
        <w:tc>
          <w:tcPr>
            <w:tcW w:type="dxa" w:w="209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5"/>
              </w:rPr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5"/>
              </w:rPr>
              <w:t>加權總分（Σ評分×權重÷100）</w:t>
            </w:r>
          </w:p>
        </w:tc>
        <w:tc>
          <w:tcPr>
            <w:tcW w:type="dxa" w:w="249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5"/>
              </w:rPr>
              <w:t>1–5尺度提案；門檻待核定</w:t>
            </w:r>
          </w:p>
        </w:tc>
        <w:tc>
          <w:tcPr>
            <w:tcW w:type="dxa" w:w="306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5"/>
              </w:rPr>
              <w:t>計算人／覆核人／日期：＿＿</w:t>
            </w:r>
          </w:p>
        </w:tc>
        <w:tc>
          <w:tcPr>
            <w:tcW w:type="dxa" w:w="209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5"/>
              </w:rPr>
            </w:r>
          </w:p>
        </w:tc>
        <w:tc>
          <w:tcPr>
            <w:tcW w:type="dxa" w:w="209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5"/>
              </w:rPr>
            </w:r>
          </w:p>
        </w:tc>
        <w:tc>
          <w:tcPr>
            <w:tcW w:type="dxa" w:w="209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5"/>
              </w:rPr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5"/>
              </w:rPr>
              <w:t>資格及關鍵門檻判定</w:t>
            </w:r>
          </w:p>
        </w:tc>
        <w:tc>
          <w:tcPr>
            <w:tcW w:type="dxa" w:w="249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5"/>
              </w:rPr>
              <w:t>門檻提案：總分≥3.8，關鍵項≥3；待核定</w:t>
            </w:r>
          </w:p>
        </w:tc>
        <w:tc>
          <w:tcPr>
            <w:tcW w:type="dxa" w:w="306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5"/>
              </w:rPr>
              <w:t>不通過項、待補資料及處置：＿＿</w:t>
            </w:r>
          </w:p>
        </w:tc>
        <w:tc>
          <w:tcPr>
            <w:tcW w:type="dxa" w:w="209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5"/>
              </w:rPr>
            </w:r>
          </w:p>
        </w:tc>
        <w:tc>
          <w:tcPr>
            <w:tcW w:type="dxa" w:w="209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5"/>
              </w:rPr>
            </w:r>
          </w:p>
        </w:tc>
        <w:tc>
          <w:tcPr>
            <w:tcW w:type="dxa" w:w="209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5"/>
              </w:rPr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5"/>
              </w:rPr>
              <w:t>不可比因素／資料限制／補件紀錄</w:t>
            </w:r>
          </w:p>
        </w:tc>
        <w:tc>
          <w:tcPr>
            <w:tcW w:type="dxa" w:w="249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5"/>
              </w:rPr>
              <w:t>不以假設代填</w:t>
            </w:r>
          </w:p>
        </w:tc>
        <w:tc>
          <w:tcPr>
            <w:tcW w:type="dxa" w:w="306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5"/>
              </w:rPr>
              <w:t>通知一致性、補件期限、證據位置：＿＿</w:t>
            </w:r>
          </w:p>
        </w:tc>
        <w:tc>
          <w:tcPr>
            <w:tcW w:type="dxa" w:w="209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5"/>
              </w:rPr>
            </w:r>
          </w:p>
        </w:tc>
        <w:tc>
          <w:tcPr>
            <w:tcW w:type="dxa" w:w="209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5"/>
              </w:rPr>
            </w:r>
          </w:p>
        </w:tc>
        <w:tc>
          <w:tcPr>
            <w:tcW w:type="dxa" w:w="209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5"/>
              </w:rPr>
            </w:r>
          </w:p>
        </w:tc>
      </w:tr>
    </w:tbl>
    <w:p>
      <w:pPr>
        <w:spacing w:after="40"/>
      </w:pPr>
    </w:p>
    <w:p>
      <w:pPr>
        <w:keepLines w:val="0"/>
        <w:spacing w:before="0" w:after="100" w:line="271" w:lineRule="auto"/>
      </w:pPr>
      <w:r>
        <w:rPr>
          <w:rFonts w:ascii="Microsoft JhengHei" w:hAnsi="Microsoft JhengHei" w:eastAsia="Microsoft JhengHei"/>
          <w:sz w:val="18"/>
        </w:rPr>
        <w:t>決策結論（推薦／不推薦／退回補件）：＿＿＿＿　比較差異與理由：＿＿＿＿　核准文件定位：＿＿＿＿　記錄完成日期：＿＿＿＿　案件實際候選名單與分數在真實資料形成前保持空白。</w:t>
      </w: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/>
          <w:b/>
          <w:color w:val="173B57"/>
          <w:sz w:val="30"/>
        </w:rPr>
        <w:t>附表C｜利益衝突揭露、判定與迴避紀錄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8C5D1"/>
          <w:left w:val="single" w:sz="5" w:space="0" w:color="B8C5D1"/>
          <w:bottom w:val="single" w:sz="5" w:space="0" w:color="B8C5D1"/>
          <w:right w:val="single" w:sz="5" w:space="0" w:color="B8C5D1"/>
          <w:insideH w:val="single" w:sz="5" w:space="0" w:color="B8C5D1"/>
          <w:insideV w:val="single" w:sz="5" w:space="0" w:color="B8C5D1"/>
        </w:tblBorders>
      </w:tblPr>
      <w:tblGrid>
        <w:gridCol w:w="2835"/>
        <w:gridCol w:w="3231"/>
        <w:gridCol w:w="2948"/>
        <w:gridCol w:w="3742"/>
        <w:gridCol w:w="2608"/>
      </w:tblGrid>
      <w:tr>
        <w:trPr>
          <w:tblHeader w:val="true"/>
          <w:cantSplit/>
        </w:trPr>
        <w:tc>
          <w:tcPr>
            <w:tcW w:type="dxa" w:w="2835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B57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參與角色／人員（實案填）</w:t>
            </w:r>
          </w:p>
        </w:tc>
        <w:tc>
          <w:tcPr>
            <w:tcW w:type="dxa" w:w="323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B57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申報日期／關係類型與受影響項目</w:t>
            </w:r>
          </w:p>
        </w:tc>
        <w:tc>
          <w:tcPr>
            <w:tcW w:type="dxa" w:w="294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B57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判定者／判定理由</w:t>
            </w:r>
          </w:p>
        </w:tc>
        <w:tc>
          <w:tcPr>
            <w:tcW w:type="dxa" w:w="374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B57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處置／迴避範圍／替代人員</w:t>
            </w:r>
          </w:p>
        </w:tc>
        <w:tc>
          <w:tcPr>
            <w:tcW w:type="dxa" w:w="260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B57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證據位置／複核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6"/>
              </w:rPr>
            </w:r>
          </w:p>
        </w:tc>
        <w:tc>
          <w:tcPr>
            <w:tcW w:type="dxa" w:w="323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6"/>
              </w:rPr>
            </w:r>
          </w:p>
        </w:tc>
        <w:tc>
          <w:tcPr>
            <w:tcW w:type="dxa" w:w="294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6"/>
              </w:rPr>
            </w:r>
          </w:p>
        </w:tc>
        <w:tc>
          <w:tcPr>
            <w:tcW w:type="dxa" w:w="374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6"/>
              </w:rPr>
            </w:r>
          </w:p>
        </w:tc>
        <w:tc>
          <w:tcPr>
            <w:tcW w:type="dxa" w:w="260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6"/>
              </w:rPr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6"/>
              </w:rPr>
            </w:r>
          </w:p>
        </w:tc>
        <w:tc>
          <w:tcPr>
            <w:tcW w:type="dxa" w:w="323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6"/>
              </w:rPr>
            </w:r>
          </w:p>
        </w:tc>
        <w:tc>
          <w:tcPr>
            <w:tcW w:type="dxa" w:w="294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6"/>
              </w:rPr>
            </w:r>
          </w:p>
        </w:tc>
        <w:tc>
          <w:tcPr>
            <w:tcW w:type="dxa" w:w="374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6"/>
              </w:rPr>
            </w:r>
          </w:p>
        </w:tc>
        <w:tc>
          <w:tcPr>
            <w:tcW w:type="dxa" w:w="260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6"/>
              </w:rPr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6"/>
              </w:rPr>
            </w:r>
          </w:p>
        </w:tc>
        <w:tc>
          <w:tcPr>
            <w:tcW w:type="dxa" w:w="323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6"/>
              </w:rPr>
            </w:r>
          </w:p>
        </w:tc>
        <w:tc>
          <w:tcPr>
            <w:tcW w:type="dxa" w:w="294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6"/>
              </w:rPr>
            </w:r>
          </w:p>
        </w:tc>
        <w:tc>
          <w:tcPr>
            <w:tcW w:type="dxa" w:w="374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6"/>
              </w:rPr>
            </w:r>
          </w:p>
        </w:tc>
        <w:tc>
          <w:tcPr>
            <w:tcW w:type="dxa" w:w="260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6"/>
              </w:rPr>
            </w:r>
          </w:p>
        </w:tc>
      </w:tr>
    </w:tbl>
    <w:p>
      <w:pPr>
        <w:spacing w:after="40"/>
      </w:pPr>
    </w:p>
    <w:p>
      <w:pPr>
        <w:keepLines w:val="0"/>
        <w:spacing w:before="0" w:after="100" w:line="271" w:lineRule="auto"/>
      </w:pPr>
      <w:r>
        <w:rPr>
          <w:rFonts w:ascii="Microsoft JhengHei" w:hAnsi="Microsoft JhengHei" w:eastAsia="Microsoft JhengHei"/>
          <w:sz w:val="20"/>
        </w:rPr>
        <w:t>申報結論不得預設為無衝突。若決定無須迴避，仍記錄判斷依據；如有迴避，留存資料隔離、替補及重新評分的可追溯軌跡。</w:t>
      </w: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/>
          <w:b/>
          <w:color w:val="173B57"/>
          <w:sz w:val="30"/>
        </w:rPr>
        <w:t>附表D｜核准、採購簽約與交付驗收檢核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8C5D1"/>
          <w:left w:val="single" w:sz="5" w:space="0" w:color="B8C5D1"/>
          <w:bottom w:val="single" w:sz="5" w:space="0" w:color="B8C5D1"/>
          <w:right w:val="single" w:sz="5" w:space="0" w:color="B8C5D1"/>
          <w:insideH w:val="single" w:sz="5" w:space="0" w:color="B8C5D1"/>
          <w:insideV w:val="single" w:sz="5" w:space="0" w:color="B8C5D1"/>
        </w:tblBorders>
      </w:tblPr>
      <w:tblGrid>
        <w:gridCol w:w="4422"/>
        <w:gridCol w:w="2608"/>
        <w:gridCol w:w="3855"/>
        <w:gridCol w:w="3855"/>
      </w:tblGrid>
      <w:tr>
        <w:trPr>
          <w:tblHeader w:val="true"/>
          <w:cantSplit/>
        </w:trPr>
        <w:tc>
          <w:tcPr>
            <w:tcW w:type="dxa" w:w="442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B57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檢核事項</w:t>
            </w:r>
          </w:p>
        </w:tc>
        <w:tc>
          <w:tcPr>
            <w:tcW w:type="dxa" w:w="260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B57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結果（通過／待補／不適用）</w:t>
            </w:r>
          </w:p>
        </w:tc>
        <w:tc>
          <w:tcPr>
            <w:tcW w:type="dxa" w:w="3855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B57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證據位置／版本／日期</w:t>
            </w:r>
          </w:p>
        </w:tc>
        <w:tc>
          <w:tcPr>
            <w:tcW w:type="dxa" w:w="3855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B57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覆核者／異常及處理</w:t>
            </w:r>
          </w:p>
        </w:tc>
      </w:tr>
      <w:tr>
        <w:trPr>
          <w:cantSplit/>
        </w:trPr>
        <w:tc>
          <w:tcPr>
            <w:tcW w:type="dxa" w:w="442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6"/>
              </w:rPr>
              <w:t>需求及規格已核定；版本與標準早於評分</w:t>
            </w:r>
          </w:p>
        </w:tc>
        <w:tc>
          <w:tcPr>
            <w:tcW w:type="dxa" w:w="260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6"/>
              </w:rPr>
            </w:r>
          </w:p>
        </w:tc>
        <w:tc>
          <w:tcPr>
            <w:tcW w:type="dxa" w:w="3855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6"/>
              </w:rPr>
            </w:r>
          </w:p>
        </w:tc>
        <w:tc>
          <w:tcPr>
            <w:tcW w:type="dxa" w:w="3855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6"/>
              </w:rPr>
            </w:r>
          </w:p>
        </w:tc>
      </w:tr>
      <w:tr>
        <w:trPr>
          <w:cantSplit/>
        </w:trPr>
        <w:tc>
          <w:tcPr>
            <w:tcW w:type="dxa" w:w="442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6"/>
              </w:rPr>
              <w:t>搜尋來源、候選資料與不可比限制可追溯</w:t>
            </w:r>
          </w:p>
        </w:tc>
        <w:tc>
          <w:tcPr>
            <w:tcW w:type="dxa" w:w="260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6"/>
              </w:rPr>
            </w:r>
          </w:p>
        </w:tc>
        <w:tc>
          <w:tcPr>
            <w:tcW w:type="dxa" w:w="3855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6"/>
              </w:rPr>
            </w:r>
          </w:p>
        </w:tc>
        <w:tc>
          <w:tcPr>
            <w:tcW w:type="dxa" w:w="3855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6"/>
              </w:rPr>
            </w:r>
          </w:p>
        </w:tc>
      </w:tr>
      <w:tr>
        <w:trPr>
          <w:cantSplit/>
        </w:trPr>
        <w:tc>
          <w:tcPr>
            <w:tcW w:type="dxa" w:w="442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6"/>
              </w:rPr>
              <w:t>資格、利益衝突及迴避資料完成</w:t>
            </w:r>
          </w:p>
        </w:tc>
        <w:tc>
          <w:tcPr>
            <w:tcW w:type="dxa" w:w="260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6"/>
              </w:rPr>
            </w:r>
          </w:p>
        </w:tc>
        <w:tc>
          <w:tcPr>
            <w:tcW w:type="dxa" w:w="3855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6"/>
              </w:rPr>
            </w:r>
          </w:p>
        </w:tc>
        <w:tc>
          <w:tcPr>
            <w:tcW w:type="dxa" w:w="3855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6"/>
              </w:rPr>
            </w:r>
          </w:p>
        </w:tc>
      </w:tr>
      <w:tr>
        <w:trPr>
          <w:cantSplit/>
        </w:trPr>
        <w:tc>
          <w:tcPr>
            <w:tcW w:type="dxa" w:w="442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6"/>
              </w:rPr>
              <w:t>評分、計算、比較與推薦有原始紀錄</w:t>
            </w:r>
          </w:p>
        </w:tc>
        <w:tc>
          <w:tcPr>
            <w:tcW w:type="dxa" w:w="260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6"/>
              </w:rPr>
            </w:r>
          </w:p>
        </w:tc>
        <w:tc>
          <w:tcPr>
            <w:tcW w:type="dxa" w:w="3855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6"/>
              </w:rPr>
            </w:r>
          </w:p>
        </w:tc>
        <w:tc>
          <w:tcPr>
            <w:tcW w:type="dxa" w:w="3855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6"/>
              </w:rPr>
            </w:r>
          </w:p>
        </w:tc>
      </w:tr>
      <w:tr>
        <w:trPr>
          <w:cantSplit/>
        </w:trPr>
        <w:tc>
          <w:tcPr>
            <w:tcW w:type="dxa" w:w="442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6"/>
              </w:rPr>
              <w:t>核准者與核准形式有有效權限依據；預算可用</w:t>
            </w:r>
          </w:p>
        </w:tc>
        <w:tc>
          <w:tcPr>
            <w:tcW w:type="dxa" w:w="260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6"/>
              </w:rPr>
            </w:r>
          </w:p>
        </w:tc>
        <w:tc>
          <w:tcPr>
            <w:tcW w:type="dxa" w:w="3855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6"/>
              </w:rPr>
            </w:r>
          </w:p>
        </w:tc>
        <w:tc>
          <w:tcPr>
            <w:tcW w:type="dxa" w:w="3855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6"/>
              </w:rPr>
            </w:r>
          </w:p>
        </w:tc>
      </w:tr>
      <w:tr>
        <w:trPr>
          <w:cantSplit/>
        </w:trPr>
        <w:tc>
          <w:tcPr>
            <w:tcW w:type="dxa" w:w="442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6"/>
              </w:rPr>
              <w:t>採購範圍、價格依據、付款與變更條件清楚</w:t>
            </w:r>
          </w:p>
        </w:tc>
        <w:tc>
          <w:tcPr>
            <w:tcW w:type="dxa" w:w="260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6"/>
              </w:rPr>
            </w:r>
          </w:p>
        </w:tc>
        <w:tc>
          <w:tcPr>
            <w:tcW w:type="dxa" w:w="3855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6"/>
              </w:rPr>
            </w:r>
          </w:p>
        </w:tc>
        <w:tc>
          <w:tcPr>
            <w:tcW w:type="dxa" w:w="3855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6"/>
              </w:rPr>
            </w:r>
          </w:p>
        </w:tc>
      </w:tr>
      <w:tr>
        <w:trPr>
          <w:cantSplit/>
        </w:trPr>
        <w:tc>
          <w:tcPr>
            <w:tcW w:type="dxa" w:w="442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6"/>
              </w:rPr>
              <w:t>正式契約／訂單已由有效授權者簽署（未簽前不得填已完成）</w:t>
            </w:r>
          </w:p>
        </w:tc>
        <w:tc>
          <w:tcPr>
            <w:tcW w:type="dxa" w:w="260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6"/>
              </w:rPr>
            </w:r>
          </w:p>
        </w:tc>
        <w:tc>
          <w:tcPr>
            <w:tcW w:type="dxa" w:w="3855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6"/>
              </w:rPr>
            </w:r>
          </w:p>
        </w:tc>
        <w:tc>
          <w:tcPr>
            <w:tcW w:type="dxa" w:w="3855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6"/>
              </w:rPr>
            </w:r>
          </w:p>
        </w:tc>
      </w:tr>
      <w:tr>
        <w:trPr>
          <w:cantSplit/>
        </w:trPr>
        <w:tc>
          <w:tcPr>
            <w:tcW w:type="dxa" w:w="442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6"/>
              </w:rPr>
              <w:t>交付成果、數量、版本與權利條件逐項檢查</w:t>
            </w:r>
          </w:p>
        </w:tc>
        <w:tc>
          <w:tcPr>
            <w:tcW w:type="dxa" w:w="260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6"/>
              </w:rPr>
            </w:r>
          </w:p>
        </w:tc>
        <w:tc>
          <w:tcPr>
            <w:tcW w:type="dxa" w:w="3855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6"/>
              </w:rPr>
            </w:r>
          </w:p>
        </w:tc>
        <w:tc>
          <w:tcPr>
            <w:tcW w:type="dxa" w:w="3855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6"/>
              </w:rPr>
            </w:r>
          </w:p>
        </w:tc>
      </w:tr>
      <w:tr>
        <w:trPr>
          <w:cantSplit/>
        </w:trPr>
        <w:tc>
          <w:tcPr>
            <w:tcW w:type="dxa" w:w="442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6"/>
              </w:rPr>
              <w:t>不合格項、改善要求、複驗及付款處理有依據</w:t>
            </w:r>
          </w:p>
        </w:tc>
        <w:tc>
          <w:tcPr>
            <w:tcW w:type="dxa" w:w="260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6"/>
              </w:rPr>
            </w:r>
          </w:p>
        </w:tc>
        <w:tc>
          <w:tcPr>
            <w:tcW w:type="dxa" w:w="3855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6"/>
              </w:rPr>
            </w:r>
          </w:p>
        </w:tc>
        <w:tc>
          <w:tcPr>
            <w:tcW w:type="dxa" w:w="3855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6"/>
              </w:rPr>
            </w:r>
          </w:p>
        </w:tc>
      </w:tr>
      <w:tr>
        <w:trPr>
          <w:cantSplit/>
        </w:trPr>
        <w:tc>
          <w:tcPr>
            <w:tcW w:type="dxa" w:w="442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6"/>
              </w:rPr>
              <w:t>驗收結果／日期／驗收者簽核及付款文件位置</w:t>
            </w:r>
          </w:p>
        </w:tc>
        <w:tc>
          <w:tcPr>
            <w:tcW w:type="dxa" w:w="260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6"/>
              </w:rPr>
            </w:r>
          </w:p>
        </w:tc>
        <w:tc>
          <w:tcPr>
            <w:tcW w:type="dxa" w:w="3855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6"/>
              </w:rPr>
            </w:r>
          </w:p>
        </w:tc>
        <w:tc>
          <w:tcPr>
            <w:tcW w:type="dxa" w:w="3855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6"/>
              </w:rPr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/>
          <w:b/>
          <w:color w:val="173B57"/>
          <w:sz w:val="30"/>
        </w:rPr>
        <w:t>附表E｜履約KPI、後續管理及改善追蹤表</w:t>
      </w:r>
    </w:p>
    <w:p>
      <w:pPr>
        <w:keepLines w:val="0"/>
        <w:spacing w:before="0" w:after="100" w:line="271" w:lineRule="auto"/>
      </w:pPr>
      <w:r>
        <w:rPr>
          <w:rFonts w:ascii="Microsoft JhengHei" w:hAnsi="Microsoft JhengHei" w:eastAsia="Microsoft JhengHei"/>
          <w:sz w:val="18"/>
        </w:rPr>
        <w:t>在服務開始前選定指標並記錄目標、資料源、應完成數及檢查頻率。以下為候選觀察面向提案，不是既有供應商的績效結果；個案不適用之指標註明原因。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8C5D1"/>
          <w:left w:val="single" w:sz="5" w:space="0" w:color="B8C5D1"/>
          <w:bottom w:val="single" w:sz="5" w:space="0" w:color="B8C5D1"/>
          <w:right w:val="single" w:sz="5" w:space="0" w:color="B8C5D1"/>
          <w:insideH w:val="single" w:sz="5" w:space="0" w:color="B8C5D1"/>
          <w:insideV w:val="single" w:sz="5" w:space="0" w:color="B8C5D1"/>
        </w:tblBorders>
      </w:tblPr>
      <w:tblGrid>
        <w:gridCol w:w="2891"/>
        <w:gridCol w:w="2381"/>
        <w:gridCol w:w="2835"/>
        <w:gridCol w:w="2098"/>
        <w:gridCol w:w="2721"/>
        <w:gridCol w:w="2494"/>
      </w:tblGrid>
      <w:tr>
        <w:trPr>
          <w:tblHeader w:val="true"/>
          <w:cantSplit/>
        </w:trPr>
        <w:tc>
          <w:tcPr>
            <w:tcW w:type="dxa" w:w="289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B57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KPI／契約交付項</w:t>
            </w:r>
          </w:p>
        </w:tc>
        <w:tc>
          <w:tcPr>
            <w:tcW w:type="dxa" w:w="238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B57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事前目標與計算口徑</w:t>
            </w:r>
          </w:p>
        </w:tc>
        <w:tc>
          <w:tcPr>
            <w:tcW w:type="dxa" w:w="2835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B57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資料來源／應完成數／檢查頻率</w:t>
            </w:r>
          </w:p>
        </w:tc>
        <w:tc>
          <w:tcPr>
            <w:tcW w:type="dxa" w:w="209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B57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實際結果／達成率</w:t>
            </w:r>
          </w:p>
        </w:tc>
        <w:tc>
          <w:tcPr>
            <w:tcW w:type="dxa" w:w="272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B57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缺失／風險／改善期限</w:t>
            </w:r>
          </w:p>
        </w:tc>
        <w:tc>
          <w:tcPr>
            <w:tcW w:type="dxa" w:w="249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B57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負責者／複核／證據定位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5"/>
              </w:rPr>
              <w:t>交付範圍及時程符合度（提案面向）</w:t>
            </w:r>
          </w:p>
        </w:tc>
        <w:tc>
          <w:tcPr>
            <w:tcW w:type="dxa" w:w="238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5"/>
              </w:rPr>
              <w:t>目標：＿＿；口徑：＿＿</w:t>
            </w:r>
          </w:p>
        </w:tc>
        <w:tc>
          <w:tcPr>
            <w:tcW w:type="dxa" w:w="2835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5"/>
              </w:rPr>
              <w:t>來源：＿＿；應完成：＿＿；頻率：＿＿</w:t>
            </w:r>
          </w:p>
        </w:tc>
        <w:tc>
          <w:tcPr>
            <w:tcW w:type="dxa" w:w="209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5"/>
              </w:rPr>
              <w:t>待實案填列</w:t>
            </w:r>
          </w:p>
        </w:tc>
        <w:tc>
          <w:tcPr>
            <w:tcW w:type="dxa" w:w="272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5"/>
              </w:rPr>
              <w:t>＿＿</w:t>
            </w:r>
          </w:p>
        </w:tc>
        <w:tc>
          <w:tcPr>
            <w:tcW w:type="dxa" w:w="249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5"/>
              </w:rPr>
              <w:t>＿＿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5"/>
              </w:rPr>
              <w:t>教材／服務品質與規格符合（提案面向）</w:t>
            </w:r>
          </w:p>
        </w:tc>
        <w:tc>
          <w:tcPr>
            <w:tcW w:type="dxa" w:w="238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5"/>
              </w:rPr>
              <w:t>目標：＿＿；口徑：＿＿</w:t>
            </w:r>
          </w:p>
        </w:tc>
        <w:tc>
          <w:tcPr>
            <w:tcW w:type="dxa" w:w="2835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5"/>
              </w:rPr>
              <w:t>來源：＿＿；應完成：＿＿；頻率：＿＿</w:t>
            </w:r>
          </w:p>
        </w:tc>
        <w:tc>
          <w:tcPr>
            <w:tcW w:type="dxa" w:w="209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5"/>
              </w:rPr>
              <w:t>待實案填列</w:t>
            </w:r>
          </w:p>
        </w:tc>
        <w:tc>
          <w:tcPr>
            <w:tcW w:type="dxa" w:w="272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5"/>
              </w:rPr>
              <w:t>＿＿</w:t>
            </w:r>
          </w:p>
        </w:tc>
        <w:tc>
          <w:tcPr>
            <w:tcW w:type="dxa" w:w="249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5"/>
              </w:rPr>
              <w:t>＿＿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5"/>
              </w:rPr>
              <w:t>授權、保密、資料及安全控制符合（提案面向）</w:t>
            </w:r>
          </w:p>
        </w:tc>
        <w:tc>
          <w:tcPr>
            <w:tcW w:type="dxa" w:w="238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5"/>
              </w:rPr>
              <w:t>目標：＿＿；口徑：＿＿</w:t>
            </w:r>
          </w:p>
        </w:tc>
        <w:tc>
          <w:tcPr>
            <w:tcW w:type="dxa" w:w="2835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5"/>
              </w:rPr>
              <w:t>來源：＿＿；應完成：＿＿；頻率：＿＿</w:t>
            </w:r>
          </w:p>
        </w:tc>
        <w:tc>
          <w:tcPr>
            <w:tcW w:type="dxa" w:w="209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5"/>
              </w:rPr>
              <w:t>待實案填列</w:t>
            </w:r>
          </w:p>
        </w:tc>
        <w:tc>
          <w:tcPr>
            <w:tcW w:type="dxa" w:w="272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5"/>
              </w:rPr>
              <w:t>＿＿</w:t>
            </w:r>
          </w:p>
        </w:tc>
        <w:tc>
          <w:tcPr>
            <w:tcW w:type="dxa" w:w="249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5"/>
              </w:rPr>
              <w:t>＿＿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5"/>
              </w:rPr>
              <w:t>問題回報與改善按期關閉（提案面向）</w:t>
            </w:r>
          </w:p>
        </w:tc>
        <w:tc>
          <w:tcPr>
            <w:tcW w:type="dxa" w:w="238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5"/>
              </w:rPr>
              <w:t>目標：＿＿；口徑：＿＿</w:t>
            </w:r>
          </w:p>
        </w:tc>
        <w:tc>
          <w:tcPr>
            <w:tcW w:type="dxa" w:w="2835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5"/>
              </w:rPr>
              <w:t>來源：＿＿；應完成：＿＿；頻率：＿＿</w:t>
            </w:r>
          </w:p>
        </w:tc>
        <w:tc>
          <w:tcPr>
            <w:tcW w:type="dxa" w:w="209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5"/>
              </w:rPr>
              <w:t>待實案填列</w:t>
            </w:r>
          </w:p>
        </w:tc>
        <w:tc>
          <w:tcPr>
            <w:tcW w:type="dxa" w:w="272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5"/>
              </w:rPr>
              <w:t>＿＿</w:t>
            </w:r>
          </w:p>
        </w:tc>
        <w:tc>
          <w:tcPr>
            <w:tcW w:type="dxa" w:w="249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5"/>
              </w:rPr>
              <w:t>＿＿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5"/>
              </w:rPr>
              <w:t>其他經核定的資源服務指標：＿＿</w:t>
            </w:r>
          </w:p>
        </w:tc>
        <w:tc>
          <w:tcPr>
            <w:tcW w:type="dxa" w:w="238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5"/>
              </w:rPr>
              <w:t>目標：＿＿；口徑：＿＿</w:t>
            </w:r>
          </w:p>
        </w:tc>
        <w:tc>
          <w:tcPr>
            <w:tcW w:type="dxa" w:w="2835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5"/>
              </w:rPr>
              <w:t>來源：＿＿；應完成：＿＿；頻率：＿＿</w:t>
            </w:r>
          </w:p>
        </w:tc>
        <w:tc>
          <w:tcPr>
            <w:tcW w:type="dxa" w:w="209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5"/>
              </w:rPr>
              <w:t>待實案填列</w:t>
            </w:r>
          </w:p>
        </w:tc>
        <w:tc>
          <w:tcPr>
            <w:tcW w:type="dxa" w:w="272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5"/>
              </w:rPr>
              <w:t>＿＿</w:t>
            </w:r>
          </w:p>
        </w:tc>
        <w:tc>
          <w:tcPr>
            <w:tcW w:type="dxa" w:w="249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5"/>
              </w:rPr>
              <w:t>＿＿</w:t>
            </w:r>
          </w:p>
        </w:tc>
      </w:tr>
    </w:tbl>
    <w:p>
      <w:pPr>
        <w:spacing w:after="40"/>
      </w:pPr>
    </w:p>
    <w:p>
      <w:pPr>
        <w:keepLines w:val="0"/>
        <w:spacing w:before="0" w:after="100" w:line="271" w:lineRule="auto"/>
      </w:pPr>
      <w:r>
        <w:rPr>
          <w:rFonts w:ascii="Microsoft JhengHei" w:hAnsi="Microsoft JhengHei" w:eastAsia="Microsoft JhengHei"/>
          <w:sz w:val="18"/>
        </w:rPr>
        <w:t>履約達成率＝完成KPI數 ÷ 應完成KPI數。案件彙總：完成＿＿項／應完成＿＿項；計算結果＿＿；資料缺漏與限制＿＿；後評結論＿＿；續用／改善／暫停／終止建議＿＿；有權者決議及依據＿＿；下一次追蹤日期＿＿。</w:t>
      </w: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/>
          <w:b/>
          <w:color w:val="173B57"/>
          <w:sz w:val="30"/>
        </w:rPr>
        <w:t>附表F｜I10-E01官方要求—來源—欄位／指標—結果—證據—覆核追溯表</w:t>
      </w:r>
    </w:p>
    <w:p>
      <w:pPr>
        <w:keepLines w:val="0"/>
        <w:spacing w:before="0" w:after="100" w:line="271" w:lineRule="auto"/>
      </w:pPr>
      <w:r>
        <w:rPr>
          <w:rFonts w:ascii="Microsoft JhengHei" w:hAnsi="Microsoft JhengHei" w:eastAsia="Microsoft JhengHei"/>
          <w:sz w:val="18"/>
        </w:rPr>
        <w:t>本表只追溯I10-E01直接要求的選擇、採購、簽約與後續管理事實；不得代替相鄰指標擁有的需求、訓練執行或成果結論。實案完成後再填結果與文件定位。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8C5D1"/>
          <w:left w:val="single" w:sz="5" w:space="0" w:color="B8C5D1"/>
          <w:bottom w:val="single" w:sz="5" w:space="0" w:color="B8C5D1"/>
          <w:right w:val="single" w:sz="5" w:space="0" w:color="B8C5D1"/>
          <w:insideH w:val="single" w:sz="5" w:space="0" w:color="B8C5D1"/>
          <w:insideV w:val="single" w:sz="5" w:space="0" w:color="B8C5D1"/>
        </w:tblBorders>
      </w:tblPr>
      <w:tblGrid>
        <w:gridCol w:w="2891"/>
        <w:gridCol w:w="3231"/>
        <w:gridCol w:w="3288"/>
        <w:gridCol w:w="2211"/>
        <w:gridCol w:w="2551"/>
        <w:gridCol w:w="1928"/>
      </w:tblGrid>
      <w:tr>
        <w:trPr>
          <w:tblHeader w:val="true"/>
          <w:cantSplit/>
        </w:trPr>
        <w:tc>
          <w:tcPr>
            <w:tcW w:type="dxa" w:w="289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B57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官方要求／要件</w:t>
            </w:r>
          </w:p>
        </w:tc>
        <w:tc>
          <w:tcPr>
            <w:tcW w:type="dxa" w:w="323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B57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官方來源</w:t>
            </w:r>
          </w:p>
        </w:tc>
        <w:tc>
          <w:tcPr>
            <w:tcW w:type="dxa" w:w="328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B57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本文件欄位／指標</w:t>
            </w:r>
          </w:p>
        </w:tc>
        <w:tc>
          <w:tcPr>
            <w:tcW w:type="dxa" w:w="221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B57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實案結果（留白待真實資料）</w:t>
            </w:r>
          </w:p>
        </w:tc>
        <w:tc>
          <w:tcPr>
            <w:tcW w:type="dxa" w:w="255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B57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證據位置／版本／日期</w:t>
            </w:r>
          </w:p>
        </w:tc>
        <w:tc>
          <w:tcPr>
            <w:tcW w:type="dxa" w:w="192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B57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覆核者／覆核日期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5"/>
              </w:rPr>
              <w:t>課程設計時有適當流程評估選擇師資（含內部師資）</w:t>
            </w:r>
          </w:p>
        </w:tc>
        <w:tc>
          <w:tcPr>
            <w:tcW w:type="dxa" w:w="323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5"/>
              </w:rPr>
              <w:t>TTQS查核佐證文件資料表-訓練機構版，第3頁；標準作業手冊，第87頁（書面頁81）</w:t>
            </w:r>
          </w:p>
        </w:tc>
        <w:tc>
          <w:tcPr>
            <w:tcW w:type="dxa" w:w="328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5"/>
              </w:rPr>
              <w:t>第3–6節；附表A、B、C；資格、權重評分及利益衝突紀錄</w:t>
            </w:r>
          </w:p>
        </w:tc>
        <w:tc>
          <w:tcPr>
            <w:tcW w:type="dxa" w:w="221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5"/>
              </w:rPr>
            </w:r>
          </w:p>
        </w:tc>
        <w:tc>
          <w:tcPr>
            <w:tcW w:type="dxa" w:w="255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5"/>
              </w:rPr>
            </w:r>
          </w:p>
        </w:tc>
        <w:tc>
          <w:tcPr>
            <w:tcW w:type="dxa" w:w="192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5"/>
              </w:rPr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5"/>
              </w:rPr>
              <w:t>課程設計時有適當流程評估選擇教材</w:t>
            </w:r>
          </w:p>
        </w:tc>
        <w:tc>
          <w:tcPr>
            <w:tcW w:type="dxa" w:w="323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5"/>
              </w:rPr>
              <w:t>同上；指標10資源類別</w:t>
            </w:r>
          </w:p>
        </w:tc>
        <w:tc>
          <w:tcPr>
            <w:tcW w:type="dxa" w:w="328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5"/>
              </w:rPr>
              <w:t>第3–6節；附表A、B；版本／品質／授權／成本及風險欄</w:t>
            </w:r>
          </w:p>
        </w:tc>
        <w:tc>
          <w:tcPr>
            <w:tcW w:type="dxa" w:w="221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5"/>
              </w:rPr>
            </w:r>
          </w:p>
        </w:tc>
        <w:tc>
          <w:tcPr>
            <w:tcW w:type="dxa" w:w="255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5"/>
              </w:rPr>
            </w:r>
          </w:p>
        </w:tc>
        <w:tc>
          <w:tcPr>
            <w:tcW w:type="dxa" w:w="192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5"/>
              </w:rPr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5"/>
              </w:rPr>
              <w:t>課程設計時有適當流程評估選擇合格合作廠商</w:t>
            </w:r>
          </w:p>
        </w:tc>
        <w:tc>
          <w:tcPr>
            <w:tcW w:type="dxa" w:w="323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5"/>
              </w:rPr>
              <w:t>同上；指標10資源類別</w:t>
            </w:r>
          </w:p>
        </w:tc>
        <w:tc>
          <w:tcPr>
            <w:tcW w:type="dxa" w:w="328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5"/>
              </w:rPr>
              <w:t>第3–6節；附表A、B、C；資格／來源／價格／風險比較欄</w:t>
            </w:r>
          </w:p>
        </w:tc>
        <w:tc>
          <w:tcPr>
            <w:tcW w:type="dxa" w:w="221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5"/>
              </w:rPr>
            </w:r>
          </w:p>
        </w:tc>
        <w:tc>
          <w:tcPr>
            <w:tcW w:type="dxa" w:w="255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5"/>
              </w:rPr>
            </w:r>
          </w:p>
        </w:tc>
        <w:tc>
          <w:tcPr>
            <w:tcW w:type="dxa" w:w="192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5"/>
              </w:rPr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5"/>
              </w:rPr>
              <w:t>評估、採購、簽約程序適當且可追溯</w:t>
            </w:r>
          </w:p>
        </w:tc>
        <w:tc>
          <w:tcPr>
            <w:tcW w:type="dxa" w:w="323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5"/>
              </w:rPr>
              <w:t>同上；查核佐證文件資料表第3頁亦列會議／審查紀錄為佐證例型</w:t>
            </w:r>
          </w:p>
        </w:tc>
        <w:tc>
          <w:tcPr>
            <w:tcW w:type="dxa" w:w="328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5"/>
              </w:rPr>
              <w:t>第6–8節；附表B、D；權限、核准、價格、正式契約欄</w:t>
            </w:r>
          </w:p>
        </w:tc>
        <w:tc>
          <w:tcPr>
            <w:tcW w:type="dxa" w:w="221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5"/>
              </w:rPr>
            </w:r>
          </w:p>
        </w:tc>
        <w:tc>
          <w:tcPr>
            <w:tcW w:type="dxa" w:w="255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5"/>
              </w:rPr>
            </w:r>
          </w:p>
        </w:tc>
        <w:tc>
          <w:tcPr>
            <w:tcW w:type="dxa" w:w="192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5"/>
              </w:rPr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5"/>
              </w:rPr>
              <w:t>履約後續管理、績效檢討、續用或改善可查證</w:t>
            </w:r>
          </w:p>
        </w:tc>
        <w:tc>
          <w:tcPr>
            <w:tcW w:type="dxa" w:w="323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5"/>
              </w:rPr>
              <w:t>同上；標準作業手冊第87頁指標10</w:t>
            </w:r>
          </w:p>
        </w:tc>
        <w:tc>
          <w:tcPr>
            <w:tcW w:type="dxa" w:w="328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5"/>
              </w:rPr>
              <w:t>第9–10節；附表D、E、G；驗收、KPI、改善、續用／停用欄</w:t>
            </w:r>
          </w:p>
        </w:tc>
        <w:tc>
          <w:tcPr>
            <w:tcW w:type="dxa" w:w="221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5"/>
              </w:rPr>
            </w:r>
          </w:p>
        </w:tc>
        <w:tc>
          <w:tcPr>
            <w:tcW w:type="dxa" w:w="255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5"/>
              </w:rPr>
            </w:r>
          </w:p>
        </w:tc>
        <w:tc>
          <w:tcPr>
            <w:tcW w:type="dxa" w:w="192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5"/>
              </w:rPr>
            </w:r>
          </w:p>
        </w:tc>
      </w:tr>
    </w:tbl>
    <w:p>
      <w:pPr>
        <w:spacing w:after="40"/>
      </w:pPr>
    </w:p>
    <w:p>
      <w:pPr>
        <w:keepLines w:val="0"/>
        <w:spacing w:before="0" w:after="100" w:line="271" w:lineRule="auto"/>
      </w:pPr>
      <w:r>
        <w:rPr>
          <w:rFonts w:ascii="Microsoft JhengHei" w:hAnsi="Microsoft JhengHei" w:eastAsia="Microsoft JhengHei"/>
          <w:sz w:val="18"/>
        </w:rPr>
        <w:t>官方來源文字直接要求的範圍為資源評估選擇以及評估、採購、簽約、後續管理程序；表中實際結果、證據定位及覆核者目前均未填列。不得以本提案稿或附表空白欄位宣稱已有執行、核准或供應商績效。</w:t>
      </w: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/>
          <w:b/>
          <w:color w:val="173B57"/>
          <w:sz w:val="30"/>
        </w:rPr>
        <w:t>附表G｜從提案稿升格為可執行真實文件的檢核清單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8C5D1"/>
          <w:left w:val="single" w:sz="5" w:space="0" w:color="B8C5D1"/>
          <w:bottom w:val="single" w:sz="5" w:space="0" w:color="B8C5D1"/>
          <w:right w:val="single" w:sz="5" w:space="0" w:color="B8C5D1"/>
          <w:insideH w:val="single" w:sz="5" w:space="0" w:color="B8C5D1"/>
          <w:insideV w:val="single" w:sz="5" w:space="0" w:color="B8C5D1"/>
        </w:tblBorders>
      </w:tblPr>
      <w:tblGrid>
        <w:gridCol w:w="737"/>
        <w:gridCol w:w="6746"/>
        <w:gridCol w:w="3288"/>
      </w:tblGrid>
      <w:tr>
        <w:trPr>
          <w:tblHeader w:val="true"/>
          <w:cantSplit/>
        </w:trPr>
        <w:tc>
          <w:tcPr>
            <w:tcW w:type="dxa" w:w="73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B57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完成</w:t>
            </w:r>
          </w:p>
        </w:tc>
        <w:tc>
          <w:tcPr>
            <w:tcW w:type="dxa" w:w="674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B57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升格前確認事項</w:t>
            </w:r>
          </w:p>
        </w:tc>
        <w:tc>
          <w:tcPr>
            <w:tcW w:type="dxa" w:w="328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B57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實際證據定位／覆核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6"/>
              </w:rPr>
              <w:t>☐</w:t>
            </w:r>
          </w:p>
        </w:tc>
        <w:tc>
          <w:tcPr>
            <w:tcW w:type="dxa" w:w="674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6"/>
              </w:rPr>
              <w:t>協會正式核定本程序、版本、生效日、核准會議／書面決議及核准者權限依據。</w:t>
            </w:r>
          </w:p>
        </w:tc>
        <w:tc>
          <w:tcPr>
            <w:tcW w:type="dxa" w:w="328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6"/>
              </w:rPr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6"/>
              </w:rPr>
              <w:t>☐</w:t>
            </w:r>
          </w:p>
        </w:tc>
        <w:tc>
          <w:tcPr>
            <w:tcW w:type="dxa" w:w="674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6"/>
              </w:rPr>
              <w:t>核實並核定角色名稱、職責、授權、分工、替補、簽約與付款權限；不得沿用提案角色作為授權。</w:t>
            </w:r>
          </w:p>
        </w:tc>
        <w:tc>
          <w:tcPr>
            <w:tcW w:type="dxa" w:w="328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6"/>
              </w:rPr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6"/>
              </w:rPr>
              <w:t>☐</w:t>
            </w:r>
          </w:p>
        </w:tc>
        <w:tc>
          <w:tcPr>
            <w:tcW w:type="dxa" w:w="674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6"/>
              </w:rPr>
              <w:t>核定評分項目、權重、尺度、門檻、重大風險規則、資料缺漏及相同分數處置；確認均在候選資料評分前生效。</w:t>
            </w:r>
          </w:p>
        </w:tc>
        <w:tc>
          <w:tcPr>
            <w:tcW w:type="dxa" w:w="328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6"/>
              </w:rPr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6"/>
              </w:rPr>
              <w:t>☐</w:t>
            </w:r>
          </w:p>
        </w:tc>
        <w:tc>
          <w:tcPr>
            <w:tcW w:type="dxa" w:w="674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6"/>
              </w:rPr>
              <w:t>核定保存期限、資料分級、存取權、保密、個人資料與電子備份方式；核對當時適用法規及協會有效規範。</w:t>
            </w:r>
          </w:p>
        </w:tc>
        <w:tc>
          <w:tcPr>
            <w:tcW w:type="dxa" w:w="328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6"/>
              </w:rPr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6"/>
              </w:rPr>
              <w:t>☐</w:t>
            </w:r>
          </w:p>
        </w:tc>
        <w:tc>
          <w:tcPr>
            <w:tcW w:type="dxa" w:w="674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6"/>
              </w:rPr>
              <w:t>用真實課程需要、課程設計、現有資源及核定定位完成附表A；需要多元訓練輸入時有可追溯之需求與資源理由。</w:t>
            </w:r>
          </w:p>
        </w:tc>
        <w:tc>
          <w:tcPr>
            <w:tcW w:type="dxa" w:w="328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6"/>
              </w:rPr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6"/>
              </w:rPr>
              <w:t>☐</w:t>
            </w:r>
          </w:p>
        </w:tc>
        <w:tc>
          <w:tcPr>
            <w:tcW w:type="dxa" w:w="674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6"/>
              </w:rPr>
              <w:t>候選來源、姓名／組織、履歷、證書、教材、價格、報價、回覆及日期均以原始真實文件核實；無資料欄位保持空白或標示待補。</w:t>
            </w:r>
          </w:p>
        </w:tc>
        <w:tc>
          <w:tcPr>
            <w:tcW w:type="dxa" w:w="328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6"/>
              </w:rPr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6"/>
              </w:rPr>
              <w:t>☐</w:t>
            </w:r>
          </w:p>
        </w:tc>
        <w:tc>
          <w:tcPr>
            <w:tcW w:type="dxa" w:w="674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6"/>
              </w:rPr>
              <w:t>評分證據、逐項理由、獨立評核、利益衝突申報、迴避、替補及重評過程均有當案原始紀錄。</w:t>
            </w:r>
          </w:p>
        </w:tc>
        <w:tc>
          <w:tcPr>
            <w:tcW w:type="dxa" w:w="328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6"/>
              </w:rPr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6"/>
              </w:rPr>
              <w:t>☐</w:t>
            </w:r>
          </w:p>
        </w:tc>
        <w:tc>
          <w:tcPr>
            <w:tcW w:type="dxa" w:w="674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6"/>
              </w:rPr>
              <w:t>有效預算、核准決議、正式採購／報價文件、契約／訂單、簽署權限、付款憑證及變更紀錄均可定位。</w:t>
            </w:r>
          </w:p>
        </w:tc>
        <w:tc>
          <w:tcPr>
            <w:tcW w:type="dxa" w:w="328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6"/>
              </w:rPr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6"/>
              </w:rPr>
              <w:t>☐</w:t>
            </w:r>
          </w:p>
        </w:tc>
        <w:tc>
          <w:tcPr>
            <w:tcW w:type="dxa" w:w="674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6"/>
              </w:rPr>
              <w:t>逐項保存交付、驗收、缺失、複驗、KPI目標與實績、履約後評、改善、續用或終止等真實證據；分母、期間、計算與限制可核對。</w:t>
            </w:r>
          </w:p>
        </w:tc>
        <w:tc>
          <w:tcPr>
            <w:tcW w:type="dxa" w:w="328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6"/>
              </w:rPr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6"/>
              </w:rPr>
              <w:t>☐</w:t>
            </w:r>
          </w:p>
        </w:tc>
        <w:tc>
          <w:tcPr>
            <w:tcW w:type="dxa" w:w="674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6"/>
              </w:rPr>
              <w:t>確認教材／服務權利與安全條款，並維持健康教育與傳統整復推拿技術之訓練範圍；不得作診斷、治療或保證療效宣稱。</w:t>
            </w:r>
          </w:p>
        </w:tc>
        <w:tc>
          <w:tcPr>
            <w:tcW w:type="dxa" w:w="328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6"/>
              </w:rPr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6"/>
              </w:rPr>
              <w:t>☐</w:t>
            </w:r>
          </w:p>
        </w:tc>
        <w:tc>
          <w:tcPr>
            <w:tcW w:type="dxa" w:w="674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6"/>
              </w:rPr>
              <w:t>逐一更換本表所有空白欄、提案數值及待核定描述；核對來源、結果、證據位置與覆核，並保留版本和原始紀錄。</w:t>
            </w:r>
          </w:p>
        </w:tc>
        <w:tc>
          <w:tcPr>
            <w:tcW w:type="dxa" w:w="328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6"/>
              </w:rPr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6"/>
              </w:rPr>
              <w:t>☐</w:t>
            </w:r>
          </w:p>
        </w:tc>
        <w:tc>
          <w:tcPr>
            <w:tcW w:type="dxa" w:w="674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6"/>
              </w:rPr>
              <w:t>完成真實性複核後才可依協會控制程序發布正式版本；本建置階段不代表完成核定、渲染或品質審查。</w:t>
            </w:r>
          </w:p>
        </w:tc>
        <w:tc>
          <w:tcPr>
            <w:tcW w:type="dxa" w:w="328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83441"/>
                <w:sz w:val="16"/>
              </w:rPr>
            </w:r>
          </w:p>
        </w:tc>
      </w:tr>
    </w:tbl>
    <w:p>
      <w:pPr>
        <w:spacing w:after="40"/>
      </w:pPr>
    </w:p>
    <w:p>
      <w:pPr>
        <w:keepLines w:val="0"/>
        <w:spacing w:before="0" w:after="80" w:line="271" w:lineRule="auto"/>
      </w:pPr>
      <w:r>
        <w:rPr>
          <w:rFonts w:ascii="Microsoft JhengHei" w:hAnsi="Microsoft JhengHei" w:eastAsia="Microsoft JhengHei"/>
          <w:b/>
          <w:color w:val="914723"/>
          <w:sz w:val="20"/>
        </w:rPr>
        <w:t>草案核定前狀態：</w:t>
      </w:r>
      <w:r>
        <w:rPr>
          <w:rFonts w:ascii="Microsoft JhengHei" w:hAnsi="Microsoft JhengHei" w:eastAsia="Microsoft JhengHei"/>
          <w:color w:val="914723"/>
          <w:sz w:val="20"/>
        </w:rPr>
        <w:t>程序仍為提案；不得作為核准、採購、簽約、付款或履約事實證明。</w:t>
      </w:r>
    </w:p>
    <w:sectPr w:rsidR="00FC693F" w:rsidRPr="0006063C" w:rsidSect="00034616">
      <w:pgSz w:w="16838" w:h="11906" w:orient="landscape"/>
      <w:pgMar w:top="822" w:right="794" w:bottom="822" w:left="794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E6F7C"/>
        <w:sz w:val="16"/>
      </w:rPr>
      <w:t xml:space="preserve">社團法人屏東縣原始點關懷協會　·　訓練資源採購與甄選　·　第 </w:t>
    </w:r>
    <w:r>
      <w:rPr>
        <w:rFonts w:ascii="Microsoft JhengHei" w:hAnsi="Microsoft JhengHei" w:eastAsia="Microsoft JhengHei"/>
        <w:color w:val="5A697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E6F7C"/>
        <w:sz w:val="16"/>
      </w:rPr>
      <w:t>I10-E01　｜　程序草案　｜　未核定、未生效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Microsoft JhengHei" w:hAnsi="Microsoft JhengHei" w:eastAsia="Microsoft JhengHei"/>
      <w:color w:val="28344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73B5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73B5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73B5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9" w:lineRule="auto"/>
      <w:contextualSpacing/>
    </w:pPr>
    <w:rPr>
      <w:rFonts w:ascii="Microsoft JhengHei" w:hAnsi="Microsoft JhengHei" w:eastAsia="Microsoft JhengHei"/>
      <w:color w:val="283441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9" w:lineRule="auto"/>
      <w:contextualSpacing/>
    </w:pPr>
    <w:rPr>
      <w:rFonts w:ascii="Microsoft JhengHei" w:hAnsi="Microsoft JhengHei" w:eastAsia="Microsoft JhengHei"/>
      <w:color w:val="283441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訓練資源採購與甄選管理辦法｜I10-E01提案草案</dc:title>
  <dc:subject>訓練師資、教材及合作廠商之評估選擇、採購、簽約、驗收與後續管理</dc:subject>
  <dc:creator>社團法人屏東縣原始點關懷協會</dc:creator>
  <cp:keywords>I10-E01; 訓練資源; 甄選; 採購; 後續管理; 草案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