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訓練班級完整結案報告</w:t>
      </w:r>
    </w:p>
    <w:p>
      <w:pPr>
        <w:pStyle w:val="Subtitle"/>
      </w:pPr>
      <w:r>
        <w:t>I15-E02  |  擬真示例／非協會實際資料  |  DRAFT_SYNTHETIC</w:t>
      </w:r>
    </w:p>
    <w:tbl>
      <w:tblPr>
        <w:tblW w:type="auto" w:w="0"/>
        <w:tblLook w:firstColumn="1" w:firstRow="1" w:lastColumn="0" w:lastRow="0" w:noHBand="0" w:noVBand="1" w:val="04A0"/>
      </w:tblPr>
      <w:tblGrid>
        <w:gridCol w:w="10181"/>
      </w:tblGrid>
      <w:tr>
        <w:tc>
          <w:tcPr>
            <w:tcW w:type="dxa" w:w="10181"/>
            <w:vAlign w:val="center"/>
            <w:tcMar>
              <w:top w:w="60" w:type="dxa"/>
              <w:start w:w="65" w:type="dxa"/>
              <w:bottom w:w="60" w:type="dxa"/>
              <w:end w:w="65" w:type="dxa"/>
            </w:tcMar>
            <w:shd w:fill="FCE8E6"/>
            <w:tcMar>
              <w:top w:w="60" w:type="dxa"/>
              <w:start w:w="65" w:type="dxa"/>
              <w:bottom w:w="60" w:type="dxa"/>
              <w:end w:w="65" w:type="dxa"/>
            </w:tcMar>
          </w:tcPr>
          <w:p>
            <w:pPr>
              <w:spacing w:after="0" w:line="240" w:lineRule="auto"/>
            </w:pPr>
            <w:r/>
            <w:r>
              <w:rPr>
                <w:rFonts w:ascii="Microsoft JhengHei" w:hAnsi="Microsoft JhengHei" w:eastAsia="Microsoft JhengHei"/>
                <w:b/>
                <w:color w:val="82221E"/>
                <w:sz w:val="19"/>
              </w:rPr>
              <w:t>擬真示例／非協會實際資料。本文件以單一假設班級完成結案工作示例，不是社團法人屏東縣原始點關懷協會實際開班、學員紀錄、師資派任、財務支出、學習成果、審查、核准或簽章。本文所有情境日期、數字、金額、評分、判定、角色、示例索引及改善提案均逐項登錄於隨附替換登錄表；REAL 欄位保持空白。</w:t>
            </w:r>
          </w:p>
        </w:tc>
      </w:tr>
    </w:tbl>
    <w:p>
      <w:pPr>
        <w:keepLines/>
      </w:pPr>
      <w:r>
        <w:t>機構定位依有效政策來源：社團法人屏東縣原始點關懷協會以健康教育及傳統整復推拿技術為核心，得依市場需求、資源、法規及品質條件發展多元課程。本假設課程只供結案檢核演練，遵守非醫療界線，不表示曾提供醫療、診斷、治療或療效。</w:t>
      </w:r>
    </w:p>
    <w:p>
      <w:pPr>
        <w:pStyle w:val="Caption"/>
        <w:keepNext/>
      </w:pPr>
      <w:r>
        <w:t>文件識別與控制狀態</w:t>
      </w:r>
    </w:p>
    <w:tbl>
      <w:tblPr>
        <w:tblStyle w:val="TableGrid"/>
        <w:tblW w:type="auto" w:w="0"/>
        <w:jc w:val="center"/>
        <w:tblLayout w:type="fixed"/>
        <w:tblLook w:firstColumn="1" w:firstRow="1" w:lastColumn="0" w:lastRow="0" w:noHBand="0" w:noVBand="1" w:val="04A0"/>
      </w:tblPr>
      <w:tblGrid>
        <w:gridCol w:w="2232"/>
        <w:gridCol w:w="5328"/>
        <w:gridCol w:w="2664"/>
      </w:tblGrid>
      <w:tr>
        <w:trPr>
          <w:tblHeader w:val="true"/>
        </w:trPr>
        <w:tc>
          <w:tcPr>
            <w:tcW w:type="dxa" w:w="2232"/>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6"/>
              </w:rPr>
              <w:t>欄位</w:t>
            </w:r>
          </w:p>
        </w:tc>
        <w:tc>
          <w:tcPr>
            <w:tcW w:type="dxa" w:w="5328"/>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6"/>
              </w:rPr>
              <w:t>內容</w:t>
            </w:r>
          </w:p>
        </w:tc>
        <w:tc>
          <w:tcPr>
            <w:tcW w:type="dxa" w:w="2664"/>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6"/>
              </w:rPr>
              <w:t>說明</w:t>
            </w:r>
          </w:p>
        </w:tc>
      </w:tr>
      <w:tr>
        <w:trPr>
          <w:cantSplit/>
        </w:trPr>
        <w:tc>
          <w:tcPr>
            <w:tcW w:type="dxa" w:w="2232"/>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6"/>
              </w:rPr>
              <w:t>序列／Canary／要求</w:t>
            </w:r>
          </w:p>
        </w:tc>
        <w:tc>
          <w:tcPr>
            <w:tcW w:type="dxa" w:w="532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6"/>
              </w:rPr>
              <w:t>0066／C07／I15-E02</w:t>
            </w:r>
          </w:p>
        </w:tc>
        <w:tc>
          <w:tcPr>
            <w:tcW w:type="dxa" w:w="2664"/>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6"/>
              </w:rPr>
              <w:t>來源控制識別</w:t>
            </w:r>
          </w:p>
        </w:tc>
      </w:tr>
      <w:tr>
        <w:trPr>
          <w:cantSplit/>
        </w:trPr>
        <w:tc>
          <w:tcPr>
            <w:tcW w:type="dxa" w:w="223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6"/>
              </w:rPr>
              <w:t>建置政策／品質週期</w:t>
            </w:r>
          </w:p>
        </w:tc>
        <w:tc>
          <w:tcPr>
            <w:tcW w:type="dxa" w:w="532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6"/>
              </w:rPr>
              <w:t>QP003／QE003；R4 reset QPR4-20260925-01；active patch QPR4-v3</w:t>
            </w:r>
          </w:p>
        </w:tc>
        <w:tc>
          <w:tcPr>
            <w:tcW w:type="dxa" w:w="266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6"/>
              </w:rPr>
              <w:t>有效控制身分</w:t>
            </w:r>
          </w:p>
        </w:tc>
      </w:tr>
      <w:tr>
        <w:trPr>
          <w:cantSplit/>
        </w:trPr>
        <w:tc>
          <w:tcPr>
            <w:tcW w:type="dxa" w:w="2232"/>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6"/>
              </w:rPr>
              <w:t>Blueprint signature</w:t>
            </w:r>
          </w:p>
        </w:tc>
        <w:tc>
          <w:tcPr>
            <w:tcW w:type="dxa" w:w="532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6"/>
              </w:rPr>
              <w:t>1b9b3556d89384cce8641134e31e9ee8ad40b387bd8809bcc7ba088c8b1cebaa</w:t>
            </w:r>
          </w:p>
        </w:tc>
        <w:tc>
          <w:tcPr>
            <w:tcW w:type="dxa" w:w="2664"/>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6"/>
              </w:rPr>
              <w:t>有效要求清冊內嵌簽章</w:t>
            </w:r>
          </w:p>
        </w:tc>
      </w:tr>
      <w:tr>
        <w:trPr>
          <w:cantSplit/>
        </w:trPr>
        <w:tc>
          <w:tcPr>
            <w:tcW w:type="dxa" w:w="223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6"/>
              </w:rPr>
              <w:t>文件狀態</w:t>
            </w:r>
          </w:p>
        </w:tc>
        <w:tc>
          <w:tcPr>
            <w:tcW w:type="dxa" w:w="532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6"/>
              </w:rPr>
              <w:t>DRAFT_SYNTHETIC；未核定、未簽章、未升格 REAL</w:t>
            </w:r>
          </w:p>
        </w:tc>
        <w:tc>
          <w:tcPr>
            <w:tcW w:type="dxa" w:w="266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6"/>
              </w:rPr>
              <w:t>不表示 PASS、CURRENT 或凍結</w:t>
            </w:r>
          </w:p>
        </w:tc>
      </w:tr>
    </w:tbl>
    <w:p>
      <w:pPr>
        <w:pStyle w:val="Heading1"/>
        <w:keepNext/>
      </w:pPr>
      <w:r>
        <w:t>結案判讀</w:t>
      </w:r>
    </w:p>
    <w:p>
      <w:pPr>
        <w:keepLines/>
      </w:pPr>
      <w:r>
        <w:rPr>
          <w:rFonts w:ascii="Microsoft JhengHei" w:hAnsi="Microsoft JhengHei" w:eastAsia="Microsoft JhengHei"/>
          <w:b/>
          <w:color w:val="9B2A26"/>
          <w:sz w:val="18"/>
        </w:rPr>
        <w:t>【擬真示例／非協會實際資料】</w:t>
      </w:r>
      <w:r>
        <w:t xml:space="preserve"> </w:t>
      </w:r>
      <w:r>
        <w:t>本案例的知識評量、學員回饋及訓後回覆達到情境目標；實作檢核有一名情境學員需補充引導練習。情境預算低於情境預算額度，但沒有真實帳證可核對。這只示範如何連結資源運用、財務支配、訓練成果、檢討與改進，不是實際班級成效。</w:t>
      </w:r>
    </w:p>
    <w:p>
      <w:pPr>
        <w:keepLines/>
      </w:pPr>
      <w:r>
        <w:t>閱讀方式：先看完整結案逐項矩陣，再看計畫／情境實際、目標差距、財務、學習摘要圖、根因改善表及 I15 專屬追溯表。文件末段列明 REAL 升格所需原件；實際值、路徑、審查及簽章保持空白。</w:t>
      </w:r>
    </w:p>
    <w:p>
      <w:pPr>
        <w:pStyle w:val="Heading1"/>
        <w:keepNext/>
      </w:pPr>
      <w:r>
        <w:t>一　班別基本資料與 I15-E02 適用範圍</w:t>
      </w:r>
    </w:p>
    <w:p>
      <w:pPr>
        <w:keepLines/>
      </w:pPr>
      <w:r>
        <w:t>官方要求（有效要求清冊及官方評核表第 5 頁）：「訓練的結案報告，包括資源的運用、財務的支配、訓練成果的展現、檢討及改進的方法。」</w:t>
      </w:r>
    </w:p>
    <w:p>
      <w:pPr>
        <w:keepLines/>
      </w:pPr>
      <w:r>
        <w:t>本稿對應官方評核表第 5 頁「查核（Review）／15. 評估報告及定期性綜合分析」的訓練結案報告佐證項。它以一個假設班級串接需求、目標、執行、資源、財務、學習結果、檢討、改善與證據定位；不代替 I08 的需求分析、I16 的異常控制、I17A 的反應評估或 I17B 的學習評估原始紀錄。</w:t>
      </w:r>
    </w:p>
    <w:p>
      <w:pPr>
        <w:keepLines/>
      </w:pPr>
      <w:r>
        <w:rPr>
          <w:rFonts w:ascii="Microsoft JhengHei" w:hAnsi="Microsoft JhengHei" w:eastAsia="Microsoft JhengHei"/>
          <w:b/>
          <w:color w:val="9B2A26"/>
          <w:sz w:val="18"/>
        </w:rPr>
        <w:t>【擬真示例／非協會實際資料】</w:t>
      </w:r>
      <w:r>
        <w:t xml:space="preserve"> </w:t>
      </w:r>
      <w:r>
        <w:t>假設班級代碼 SIM-CLASS-ALPHA；課程名稱「健康教育與傳統整復推拿基礎安全實務」。這些是擬真示例，沒有真實開課核准、班級名冊、師資資料或附件。</w:t>
      </w:r>
    </w:p>
    <w:p>
      <w:pPr>
        <w:keepLines/>
      </w:pPr>
      <w:r>
        <w:t>依非醫療界線，本案例只討論健康教育、基本安全、溝通、練習安排和適時停止／轉介；不做疾病診斷、不宣稱治療或療效，也不把學習回饋解讀為健康改善。</w:t>
      </w:r>
    </w:p>
    <w:p>
      <w:pPr>
        <w:pStyle w:val="Heading1"/>
        <w:keepNext/>
      </w:pPr>
      <w:r>
        <w:t>二　完整結案逐項檢核</w:t>
      </w:r>
    </w:p>
    <w:p>
      <w:pPr>
        <w:keepLines/>
      </w:pPr>
      <w:r>
        <w:t>矩陣每一列均列示情境結果／虛擬索引、分析／處置、下一步與應替換的真實原件。SIM-E-* 只是在本文內的虛擬定位碼，沒有對應的實際檔案或外部證據。每列資料性質均標記為 擬真示例／非協會實際資料。</w:t>
      </w:r>
    </w:p>
    <w:p>
      <w:pPr>
        <w:pStyle w:val="Caption"/>
        <w:keepNext/>
      </w:pPr>
      <w:r>
        <w:t>表 1　22 項完整結案矩陣</w:t>
      </w:r>
    </w:p>
    <w:tbl>
      <w:tblPr>
        <w:tblStyle w:val="TableGrid"/>
        <w:tblW w:type="auto" w:w="0"/>
        <w:jc w:val="center"/>
        <w:tblLayout w:type="fixed"/>
        <w:tblLook w:firstColumn="1" w:firstRow="1" w:lastColumn="0" w:lastRow="0" w:noHBand="0" w:noVBand="1" w:val="04A0"/>
      </w:tblPr>
      <w:tblGrid>
        <w:gridCol w:w="864"/>
        <w:gridCol w:w="2520"/>
        <w:gridCol w:w="2232"/>
        <w:gridCol w:w="2736"/>
        <w:gridCol w:w="1512"/>
      </w:tblGrid>
      <w:tr>
        <w:trPr>
          <w:tblHeader w:val="true"/>
        </w:trPr>
        <w:tc>
          <w:tcPr>
            <w:tcW w:type="dxa" w:w="864"/>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3"/>
              </w:rPr>
              <w:t>項次</w:t>
            </w:r>
          </w:p>
        </w:tc>
        <w:tc>
          <w:tcPr>
            <w:tcW w:type="dxa" w:w="2520"/>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3"/>
              </w:rPr>
              <w:t>情境結果／示例索引</w:t>
            </w:r>
          </w:p>
        </w:tc>
        <w:tc>
          <w:tcPr>
            <w:tcW w:type="dxa" w:w="2232"/>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3"/>
              </w:rPr>
              <w:t>分析／處置</w:t>
            </w:r>
          </w:p>
        </w:tc>
        <w:tc>
          <w:tcPr>
            <w:tcW w:type="dxa" w:w="2736"/>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3"/>
              </w:rPr>
              <w:t>下一步／真實替換原件</w:t>
            </w:r>
          </w:p>
        </w:tc>
        <w:tc>
          <w:tcPr>
            <w:tcW w:type="dxa" w:w="1512"/>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3"/>
              </w:rPr>
              <w:t>資料性質</w:t>
            </w:r>
          </w:p>
        </w:tc>
      </w:tr>
      <w:tr>
        <w:trPr>
          <w:cantSplit/>
        </w:trPr>
        <w:tc>
          <w:tcPr>
            <w:tcW w:type="dxa" w:w="86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3"/>
              </w:rPr>
              <w:t>01 班別基本資料</w:t>
            </w:r>
          </w:p>
        </w:tc>
        <w:tc>
          <w:tcPr>
            <w:tcW w:type="dxa" w:w="252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【擬真示例／非協會實際資料】班級 SIM-CLASS-ALPHA；課程「健康教育與傳統整復推拿基礎安全實務」；3 場、18 小時。SIM-E-CLASSPLAN。</w:t>
            </w:r>
          </w:p>
        </w:tc>
        <w:tc>
          <w:tcPr>
            <w:tcW w:type="dxa" w:w="223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【擬真示例／非協會實際資料】符合核心課程範疇，但班級與開課未經真實原件證實。</w:t>
            </w:r>
          </w:p>
        </w:tc>
        <w:tc>
          <w:tcPr>
            <w:tcW w:type="dxa" w:w="27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【擬真示例／非協會實際資料】核定課程計畫、正式班級編號、開課核准。</w:t>
            </w:r>
          </w:p>
        </w:tc>
        <w:tc>
          <w:tcPr>
            <w:tcW w:type="dxa" w:w="1512"/>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3"/>
              </w:rPr>
              <w:t>02 開課需求與依據</w:t>
            </w:r>
          </w:p>
        </w:tc>
        <w:tc>
          <w:tcPr>
            <w:tcW w:type="dxa" w:w="252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【擬真示例／非協會實際資料】情境需求聚焦非醫療界線、安全操作及增加引導練習；非市場調查。SIM-E-CLASSPLAN。</w:t>
            </w:r>
          </w:p>
        </w:tc>
        <w:tc>
          <w:tcPr>
            <w:tcW w:type="dxa" w:w="223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【擬真示例／非協會實際資料】方向符合協會定位，不能證明市場需求或正式開課依據。</w:t>
            </w:r>
          </w:p>
        </w:tc>
        <w:tc>
          <w:tcPr>
            <w:tcW w:type="dxa" w:w="273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【擬真示例／非協會實際資料】實際需求調查、利害關係人回饋、年度計畫、資源及法規檢核。</w:t>
            </w:r>
          </w:p>
        </w:tc>
        <w:tc>
          <w:tcPr>
            <w:tcW w:type="dxa" w:w="151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3"/>
              </w:rPr>
              <w:t>03 原定訓練目標</w:t>
            </w:r>
          </w:p>
        </w:tc>
        <w:tc>
          <w:tcPr>
            <w:tcW w:type="dxa" w:w="252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【擬真示例／非協會實際資料】4 項情境目標：安全知識、實作、反應滿意度、訓後應用追蹤。SIM-E-ASSESS。</w:t>
            </w:r>
          </w:p>
        </w:tc>
        <w:tc>
          <w:tcPr>
            <w:tcW w:type="dxa" w:w="223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【擬真示例／非協會實際資料】門檻可核對，仍須確認核定版本。</w:t>
            </w:r>
          </w:p>
        </w:tc>
        <w:tc>
          <w:tcPr>
            <w:tcW w:type="dxa" w:w="27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【擬真示例／非協會實際資料】核定課程計畫、評量規準、問卷版本及追蹤指標。</w:t>
            </w:r>
          </w:p>
        </w:tc>
        <w:tc>
          <w:tcPr>
            <w:tcW w:type="dxa" w:w="1512"/>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3"/>
              </w:rPr>
              <w:t>04 實際執行情況</w:t>
            </w:r>
          </w:p>
        </w:tc>
        <w:tc>
          <w:tcPr>
            <w:tcW w:type="dxa" w:w="252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【擬真示例／非協會實際資料】2026-08-08、2026-08-15、2026-08-22；每場 6 小時，合計 18 小時。SIM-E-CLASSPLAN。</w:t>
            </w:r>
          </w:p>
        </w:tc>
        <w:tc>
          <w:tcPr>
            <w:tcW w:type="dxa" w:w="223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【擬真示例／非協會實際資料】情境時程按排程完成；沒有真實簽到簽退或授課紀錄。</w:t>
            </w:r>
          </w:p>
        </w:tc>
        <w:tc>
          <w:tcPr>
            <w:tcW w:type="dxa" w:w="273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【擬真示例／非協會實際資料】課表、簽到簽退、教學紀錄及異動紀錄。</w:t>
            </w:r>
          </w:p>
        </w:tc>
        <w:tc>
          <w:tcPr>
            <w:tcW w:type="dxa" w:w="151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3"/>
              </w:rPr>
              <w:t>05 學員及出勤</w:t>
            </w:r>
          </w:p>
        </w:tc>
        <w:tc>
          <w:tcPr>
            <w:tcW w:type="dxa" w:w="252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【擬真示例／非協會實際資料】報名 8 人；應到 24 人次、實到 22 人次，出席率 91.7%。SIM-E-ATTENDANCE。</w:t>
            </w:r>
          </w:p>
        </w:tc>
        <w:tc>
          <w:tcPr>
            <w:tcW w:type="dxa" w:w="223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【擬真示例／非協會實際資料】人次按情境人數及場次計算；缺席須回到原件核對。</w:t>
            </w:r>
          </w:p>
        </w:tc>
        <w:tc>
          <w:tcPr>
            <w:tcW w:type="dxa" w:w="27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【擬真示例／非協會實際資料】正式名冊、逐日簽到及缺席／補登原件。</w:t>
            </w:r>
          </w:p>
        </w:tc>
        <w:tc>
          <w:tcPr>
            <w:tcW w:type="dxa" w:w="1512"/>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3"/>
              </w:rPr>
              <w:t>06 師資執行</w:t>
            </w:r>
          </w:p>
        </w:tc>
        <w:tc>
          <w:tcPr>
            <w:tcW w:type="dxa" w:w="252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【擬真示例／非協會實際資料】1 個授課角色、1 個課務支援角色；未填姓名。SIM-E-RESOURCE。</w:t>
            </w:r>
          </w:p>
        </w:tc>
        <w:tc>
          <w:tcPr>
            <w:tcW w:type="dxa" w:w="223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【擬真示例／非協會實際資料】未有真實資格或任課資訊，不代表任何人實際授課。</w:t>
            </w:r>
          </w:p>
        </w:tc>
        <w:tc>
          <w:tcPr>
            <w:tcW w:type="dxa" w:w="273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【擬真示例／非協會實際資料】師資名冊、資格佐證、派任核准、授課及講師回饋紀錄。</w:t>
            </w:r>
          </w:p>
        </w:tc>
        <w:tc>
          <w:tcPr>
            <w:tcW w:type="dxa" w:w="151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3"/>
              </w:rPr>
              <w:t>07 教材與教學方法</w:t>
            </w:r>
          </w:p>
        </w:tc>
        <w:tc>
          <w:tcPr>
            <w:tcW w:type="dxa" w:w="252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【擬真示例／非協會實際資料】情境採健康教育、非醫療界線、示範、引導練習、情境判斷與安全停手。SIM-E-MATERIAL。</w:t>
            </w:r>
          </w:p>
        </w:tc>
        <w:tc>
          <w:tcPr>
            <w:tcW w:type="dxa" w:w="223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【擬真示例／非協會實際資料】方法對應目標；排隊情境顯示輪替安排不足。</w:t>
            </w:r>
          </w:p>
        </w:tc>
        <w:tc>
          <w:tcPr>
            <w:tcW w:type="dxa" w:w="27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【擬真示例／非協會實際資料】核定教材版本、教案、實作規準與授課觀察。</w:t>
            </w:r>
          </w:p>
        </w:tc>
        <w:tc>
          <w:tcPr>
            <w:tcW w:type="dxa" w:w="1512"/>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3"/>
              </w:rPr>
              <w:t>08 場地及設備</w:t>
            </w:r>
          </w:p>
        </w:tc>
        <w:tc>
          <w:tcPr>
            <w:tcW w:type="dxa" w:w="252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【擬真示例／非協會實際資料】2 個實作站、每站提案配置 4 人；排隊 1 件、暫停調整 1 次。SIM-E-ANOMALY。</w:t>
            </w:r>
          </w:p>
        </w:tc>
        <w:tc>
          <w:tcPr>
            <w:tcW w:type="dxa" w:w="223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【擬真示例／非協會實際資料】輪替安排未充分消化等待；情境受傷人數 {injuries}，不是真實安全紀錄。</w:t>
            </w:r>
          </w:p>
        </w:tc>
        <w:tc>
          <w:tcPr>
            <w:tcW w:type="dxa" w:w="273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【擬真示例／非協會實際資料】場地圖、設備清冊、借用紀錄、安全檢核及事件通報。</w:t>
            </w:r>
          </w:p>
        </w:tc>
        <w:tc>
          <w:tcPr>
            <w:tcW w:type="dxa" w:w="151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3"/>
              </w:rPr>
              <w:t>09 人力與資源</w:t>
            </w:r>
          </w:p>
        </w:tc>
        <w:tc>
          <w:tcPr>
            <w:tcW w:type="dxa" w:w="252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【擬真示例／非協會實際資料】授課角色 1 個、支援角色 1 個、站點 2 個、總時數 18 小時。SIM-E-RESOURCE。</w:t>
            </w:r>
          </w:p>
        </w:tc>
        <w:tc>
          <w:tcPr>
            <w:tcW w:type="dxa" w:w="223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【擬真示例／非協會實際資料】情境資源看似可支援課程；沒有實際工時、設備或耗材記錄。</w:t>
            </w:r>
          </w:p>
        </w:tc>
        <w:tc>
          <w:tcPr>
            <w:tcW w:type="dxa" w:w="27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【擬真示例／非協會實際資料】排班、工時、設備借用、耗材領用及場地記錄。</w:t>
            </w:r>
          </w:p>
        </w:tc>
        <w:tc>
          <w:tcPr>
            <w:tcW w:type="dxa" w:w="1512"/>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3"/>
              </w:rPr>
              <w:t>10 核定預算與實際收支</w:t>
            </w:r>
          </w:p>
        </w:tc>
        <w:tc>
          <w:tcPr>
            <w:tcW w:type="dxa" w:w="252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【擬真示例／非協會實際資料】情境預算 24,000 元、支出 22,800 元、差額 -1,200 元、差異率 -5.0%。SIM-E-BUDGET。</w:t>
            </w:r>
          </w:p>
        </w:tc>
        <w:tc>
          <w:tcPr>
            <w:tcW w:type="dxa" w:w="223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【擬真示例／非協會實際資料】情境低於額度；沒有核定預算、憑證或付款，不能作財務結案。</w:t>
            </w:r>
          </w:p>
        </w:tc>
        <w:tc>
          <w:tcPr>
            <w:tcW w:type="dxa" w:w="273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【擬真示例／非協會實際資料】核定預算、總帳、傳票、合法憑證、付款及財務覆核。</w:t>
            </w:r>
          </w:p>
        </w:tc>
        <w:tc>
          <w:tcPr>
            <w:tcW w:type="dxa" w:w="151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3"/>
              </w:rPr>
              <w:t>11 學習評量結果</w:t>
            </w:r>
          </w:p>
        </w:tc>
        <w:tc>
          <w:tcPr>
            <w:tcW w:type="dxa" w:w="252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【擬真示例／非協會實際資料】有效受評 8 人；前測 59.0 分、後測 82.5 分；及格 7 人（87.5%）；實作 7/8 通過。SIM-E-ASSESS。</w:t>
            </w:r>
          </w:p>
        </w:tc>
        <w:tc>
          <w:tcPr>
            <w:tcW w:type="dxa" w:w="223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【擬真示例／非協會實際資料】知識情境結果達門檻；實作仍有一人待加強，兩種評量不可互相替代。</w:t>
            </w:r>
          </w:p>
        </w:tc>
        <w:tc>
          <w:tcPr>
            <w:tcW w:type="dxa" w:w="27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【擬真示例／非協會實際資料】去識別化作答、核定門檻、評分覆核及補教／再評原件。</w:t>
            </w:r>
          </w:p>
        </w:tc>
        <w:tc>
          <w:tcPr>
            <w:tcW w:type="dxa" w:w="1512"/>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3"/>
              </w:rPr>
              <w:t>12 學員與講師回饋</w:t>
            </w:r>
          </w:p>
        </w:tc>
        <w:tc>
          <w:tcPr>
            <w:tcW w:type="dxa" w:w="252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【擬真示例／非協會實際資料】滿意度 4.4/5，回覆 8 份；6 人希望增加練習、5 人希望步驟卡。SIM-E-FEEDBACK。</w:t>
            </w:r>
          </w:p>
        </w:tc>
        <w:tc>
          <w:tcPr>
            <w:tcW w:type="dxa" w:w="223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【擬真示例／非協會實際資料】回饋指向練習與教材；不是問卷結果，也無真實講師回饋。</w:t>
            </w:r>
          </w:p>
        </w:tc>
        <w:tc>
          <w:tcPr>
            <w:tcW w:type="dxa" w:w="273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【擬真示例／非協會實際資料】匿名原始問卷、題目量尺、回收清冊、講師回饋及統計口徑。</w:t>
            </w:r>
          </w:p>
        </w:tc>
        <w:tc>
          <w:tcPr>
            <w:tcW w:type="dxa" w:w="151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3"/>
              </w:rPr>
              <w:t>13 異常事項及處理</w:t>
            </w:r>
          </w:p>
        </w:tc>
        <w:tc>
          <w:tcPr>
            <w:tcW w:type="dxa" w:w="252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【擬真示例／非協會實際資料】一件實作站排隊；授課角色暫停並調整輪替；情境受傷人數 0。SIM-E-ANOMALY。</w:t>
            </w:r>
          </w:p>
        </w:tc>
        <w:tc>
          <w:tcPr>
            <w:tcW w:type="dxa" w:w="223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【擬真示例／非協會實際資料】暫停重排可降低情境等待風險；無真實事件調查或覆核。</w:t>
            </w:r>
          </w:p>
        </w:tc>
        <w:tc>
          <w:tcPr>
            <w:tcW w:type="dxa" w:w="27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【擬真示例／非協會實際資料】異常／未遂通報、處理時間軸、核准及追蹤紀錄。</w:t>
            </w:r>
          </w:p>
        </w:tc>
        <w:tc>
          <w:tcPr>
            <w:tcW w:type="dxa" w:w="1512"/>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3"/>
              </w:rPr>
              <w:t>14 安全／法規／個資</w:t>
            </w:r>
          </w:p>
        </w:tc>
        <w:tc>
          <w:tcPr>
            <w:tcW w:type="dxa" w:w="252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【擬真示例／非協會實際資料】情境彙總去識別、不列姓名或病況，課程限於非醫療教育。SIM-E-SAFETY。</w:t>
            </w:r>
          </w:p>
        </w:tc>
        <w:tc>
          <w:tcPr>
            <w:tcW w:type="dxa" w:w="223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【擬真示例／非協會實際資料】設計界線不等同法規遵循、告知同意、保管或場地安全的實際證明。</w:t>
            </w:r>
          </w:p>
        </w:tc>
        <w:tc>
          <w:tcPr>
            <w:tcW w:type="dxa" w:w="273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【擬真示例／非協會實際資料】告知同意、存取／保存規則、師資資格及安全檢核原件。</w:t>
            </w:r>
          </w:p>
        </w:tc>
        <w:tc>
          <w:tcPr>
            <w:tcW w:type="dxa" w:w="151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3"/>
              </w:rPr>
              <w:t>15 訓後追蹤安排</w:t>
            </w:r>
          </w:p>
        </w:tc>
        <w:tc>
          <w:tcPr>
            <w:tcW w:type="dxa" w:w="252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【擬真示例／非協會實際資料】結訓後 30 日情境追蹤，日期 2026-09-21；回覆 6/8 人，4/6 回覆安全練習。SIM-E-FOLLOWUP。</w:t>
            </w:r>
          </w:p>
        </w:tc>
        <w:tc>
          <w:tcPr>
            <w:tcW w:type="dxa" w:w="223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【擬真示例／非協會實際資料】只描述學習應用，不推論醫療或健康成效；沒有真實聯絡、同意或回覆紀錄。</w:t>
            </w:r>
          </w:p>
        </w:tc>
        <w:tc>
          <w:tcPr>
            <w:tcW w:type="dxa" w:w="27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【擬真示例／非協會實際資料】追蹤計畫、同意依據、去識別化邀請／回覆及後續處理。</w:t>
            </w:r>
          </w:p>
        </w:tc>
        <w:tc>
          <w:tcPr>
            <w:tcW w:type="dxa" w:w="1512"/>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3"/>
              </w:rPr>
              <w:t>16 目標達成分析</w:t>
            </w:r>
          </w:p>
        </w:tc>
        <w:tc>
          <w:tcPr>
            <w:tcW w:type="dxa" w:w="252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【擬真示例／非協會實際資料】3/4 項情境達標，1/4 項部分達標；部分項為實作。SIM-E-CLOSEOUT。</w:t>
            </w:r>
          </w:p>
        </w:tc>
        <w:tc>
          <w:tcPr>
            <w:tcW w:type="dxa" w:w="223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【擬真示例／非協會實際資料】逐項比較能定位差距；結論仍須原始評量和正式覆核。</w:t>
            </w:r>
          </w:p>
        </w:tc>
        <w:tc>
          <w:tcPr>
            <w:tcW w:type="dxa" w:w="273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【擬真示例／非協會實際資料】正式目標版本、對應評量證據、差距分析及覆核者。</w:t>
            </w:r>
          </w:p>
        </w:tc>
        <w:tc>
          <w:tcPr>
            <w:tcW w:type="dxa" w:w="151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3"/>
              </w:rPr>
              <w:t>17 問題與原因</w:t>
            </w:r>
          </w:p>
        </w:tc>
        <w:tc>
          <w:tcPr>
            <w:tcW w:type="dxa" w:w="252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【擬真示例／非協會實際資料】三項情境問題：站點輪替、引導練習、步驟卡資訊密度。SIM-E-CLOSEOUT。</w:t>
            </w:r>
          </w:p>
        </w:tc>
        <w:tc>
          <w:tcPr>
            <w:tcW w:type="dxa" w:w="223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【擬真示例／非協會實際資料】假設根因是動線、練習時間與教材可讀性；尚未查證。</w:t>
            </w:r>
          </w:p>
        </w:tc>
        <w:tc>
          <w:tcPr>
            <w:tcW w:type="dxa" w:w="27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【擬真示例／非協會實際資料】現場觀察、回饋原件、異常紀錄與根因分析。</w:t>
            </w:r>
          </w:p>
        </w:tc>
        <w:tc>
          <w:tcPr>
            <w:tcW w:type="dxa" w:w="1512"/>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3"/>
              </w:rPr>
              <w:t>18 改善措施</w:t>
            </w:r>
          </w:p>
        </w:tc>
        <w:tc>
          <w:tcPr>
            <w:tcW w:type="dxa" w:w="252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【擬真示例／非協會實際資料】情境提案：課前試排、增加引導練習並再評、拆分步驟卡。SIM-E-CLOSEOUT。</w:t>
            </w:r>
          </w:p>
        </w:tc>
        <w:tc>
          <w:tcPr>
            <w:tcW w:type="dxa" w:w="223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【擬真示例／非協會實際資料】措施分別對應情境根因，尚未執行或驗效。</w:t>
            </w:r>
          </w:p>
        </w:tc>
        <w:tc>
          <w:tcPr>
            <w:tcW w:type="dxa" w:w="273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【擬真示例／非協會實際資料】核定改善方案、教材版次、補教再評及場地驗證。</w:t>
            </w:r>
          </w:p>
        </w:tc>
        <w:tc>
          <w:tcPr>
            <w:tcW w:type="dxa" w:w="151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3"/>
              </w:rPr>
              <w:t>19 責任人及期限</w:t>
            </w:r>
          </w:p>
        </w:tc>
        <w:tc>
          <w:tcPr>
            <w:tcW w:type="dxa" w:w="252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【擬真示例／非協會實際資料】角色提案 課務承辦角色（擬真提案）、教學角色（擬真提案）、教材設計角色（擬真提案）；期限 2026-10-01、2026-10-05、2026-10-08。SIM-E-CLOSEOUT。</w:t>
            </w:r>
          </w:p>
        </w:tc>
        <w:tc>
          <w:tcPr>
            <w:tcW w:type="dxa" w:w="223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【擬真示例／非協會實際資料】非真人任命；日期不形成協會承諾或授權。</w:t>
            </w:r>
          </w:p>
        </w:tc>
        <w:tc>
          <w:tcPr>
            <w:tcW w:type="dxa" w:w="27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【擬真示例／非協會實際資料】實際責任分派、權責確認、核定期限與工作紀錄。</w:t>
            </w:r>
          </w:p>
        </w:tc>
        <w:tc>
          <w:tcPr>
            <w:tcW w:type="dxa" w:w="1512"/>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3"/>
              </w:rPr>
              <w:t>20 下一班驗證</w:t>
            </w:r>
          </w:p>
        </w:tc>
        <w:tc>
          <w:tcPr>
            <w:tcW w:type="dxa" w:w="252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【擬真示例／非協會實際資料】情境目標：8/8 通過、排隊 0 件、滿意度至少 4.0/5、追蹤回覆率至少 75.0%。</w:t>
            </w:r>
          </w:p>
        </w:tc>
        <w:tc>
          <w:tcPr>
            <w:tcW w:type="dxa" w:w="223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【擬真示例／非協會實際資料】可對應技能、場地、反應與追蹤；不是協會現行KPI。</w:t>
            </w:r>
          </w:p>
        </w:tc>
        <w:tc>
          <w:tcPr>
            <w:tcW w:type="dxa" w:w="273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【擬真示例／非協會實際資料】下一班開課前核定口徑，課後用原始紀錄及改善決議驗證。</w:t>
            </w:r>
          </w:p>
        </w:tc>
        <w:tc>
          <w:tcPr>
            <w:tcW w:type="dxa" w:w="151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3"/>
              </w:rPr>
              <w:t>21 附件／證據索引</w:t>
            </w:r>
          </w:p>
        </w:tc>
        <w:tc>
          <w:tcPr>
            <w:tcW w:type="dxa" w:w="252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【擬真示例／非協會實際資料】十一個 SIM-E-* 為虛擬索引，非附件、檔案路徑或第三方原件。</w:t>
            </w:r>
          </w:p>
        </w:tc>
        <w:tc>
          <w:tcPr>
            <w:tcW w:type="dxa" w:w="223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【擬真示例／非協會實際資料】索引能說明預期證據類型，不得在審查時標示已附或已查驗。</w:t>
            </w:r>
          </w:p>
        </w:tc>
        <w:tc>
          <w:tcPr>
            <w:tcW w:type="dxa" w:w="27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【擬真示例／非協會實際資料】取得原件、檔名、版本、頁碼、保存位置與覆核記錄。</w:t>
            </w:r>
          </w:p>
        </w:tc>
        <w:tc>
          <w:tcPr>
            <w:tcW w:type="dxa" w:w="1512"/>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86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3"/>
              </w:rPr>
              <w:t>22 審查／核定</w:t>
            </w:r>
          </w:p>
        </w:tc>
        <w:tc>
          <w:tcPr>
            <w:tcW w:type="dxa" w:w="252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【擬真示例／非協會實際資料】DRAFT_SYNTHETIC；審查人、核定人、簽章、日期及核准編號均空白。</w:t>
            </w:r>
          </w:p>
        </w:tc>
        <w:tc>
          <w:tcPr>
            <w:tcW w:type="dxa" w:w="223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【擬真示例／非協會實際資料】未核定是本草案真實狀態，情境判斷不代表協會決議。</w:t>
            </w:r>
          </w:p>
        </w:tc>
        <w:tc>
          <w:tcPr>
            <w:tcW w:type="dxa" w:w="273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【擬真示例／非協會實際資料】由真實權責者依原件完成審查與核定；不得預填姓名或簽章。</w:t>
            </w:r>
          </w:p>
        </w:tc>
        <w:tc>
          <w:tcPr>
            <w:tcW w:type="dxa" w:w="151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bl>
    <w:p>
      <w:pPr>
        <w:pStyle w:val="Heading1"/>
        <w:keepNext/>
      </w:pPr>
      <w:r>
        <w:t>三　計畫 vs 實際總表</w:t>
      </w:r>
    </w:p>
    <w:p>
      <w:pPr>
        <w:keepLines/>
      </w:pPr>
      <w:r>
        <w:t>表內「實際」只表示假設案例中的情境實際值，不是實際開班紀錄。</w:t>
      </w:r>
    </w:p>
    <w:tbl>
      <w:tblPr>
        <w:tblStyle w:val="TableGrid"/>
        <w:tblW w:type="auto" w:w="0"/>
        <w:jc w:val="center"/>
        <w:tblLayout w:type="fixed"/>
        <w:tblLook w:firstColumn="1" w:firstRow="1" w:lastColumn="0" w:lastRow="0" w:noHBand="0" w:noVBand="1" w:val="04A0"/>
      </w:tblPr>
      <w:tblGrid>
        <w:gridCol w:w="1584"/>
        <w:gridCol w:w="1728"/>
        <w:gridCol w:w="2088"/>
        <w:gridCol w:w="2880"/>
        <w:gridCol w:w="1584"/>
      </w:tblGrid>
      <w:tr>
        <w:trPr>
          <w:tblHeader w:val="true"/>
        </w:trPr>
        <w:tc>
          <w:tcPr>
            <w:tcW w:type="dxa" w:w="1584"/>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項目</w:t>
            </w:r>
          </w:p>
        </w:tc>
        <w:tc>
          <w:tcPr>
            <w:tcW w:type="dxa" w:w="1728"/>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計畫（情境）</w:t>
            </w:r>
          </w:p>
        </w:tc>
        <w:tc>
          <w:tcPr>
            <w:tcW w:type="dxa" w:w="2088"/>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實際（情境）</w:t>
            </w:r>
          </w:p>
        </w:tc>
        <w:tc>
          <w:tcPr>
            <w:tcW w:type="dxa" w:w="2880"/>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差異判讀</w:t>
            </w:r>
          </w:p>
        </w:tc>
        <w:tc>
          <w:tcPr>
            <w:tcW w:type="dxa" w:w="1584"/>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資料性質</w:t>
            </w:r>
          </w:p>
        </w:tc>
      </w:tr>
      <w:tr>
        <w:trPr>
          <w:cantSplit/>
        </w:trPr>
        <w:tc>
          <w:tcPr>
            <w:tcW w:type="dxa" w:w="158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授課場次</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3</w:t>
            </w:r>
          </w:p>
        </w:tc>
        <w:tc>
          <w:tcPr>
            <w:tcW w:type="dxa" w:w="208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3</w:t>
            </w:r>
          </w:p>
        </w:tc>
        <w:tc>
          <w:tcPr>
            <w:tcW w:type="dxa" w:w="288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情境依排程；真實授課紀錄未提供。</w:t>
            </w:r>
          </w:p>
        </w:tc>
        <w:tc>
          <w:tcPr>
            <w:tcW w:type="dxa" w:w="1584"/>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58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總訓練時數</w:t>
            </w:r>
          </w:p>
        </w:tc>
        <w:tc>
          <w:tcPr>
            <w:tcW w:type="dxa" w:w="172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18 小時</w:t>
            </w:r>
          </w:p>
        </w:tc>
        <w:tc>
          <w:tcPr>
            <w:tcW w:type="dxa" w:w="208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18 小時</w:t>
            </w:r>
          </w:p>
        </w:tc>
        <w:tc>
          <w:tcPr>
            <w:tcW w:type="dxa" w:w="288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須以逐時簽到與授課原件核對。</w:t>
            </w:r>
          </w:p>
        </w:tc>
        <w:tc>
          <w:tcPr>
            <w:tcW w:type="dxa" w:w="158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58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招收／報名</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8 人</w:t>
            </w:r>
          </w:p>
        </w:tc>
        <w:tc>
          <w:tcPr>
            <w:tcW w:type="dxa" w:w="208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8 人</w:t>
            </w:r>
          </w:p>
        </w:tc>
        <w:tc>
          <w:tcPr>
            <w:tcW w:type="dxa" w:w="288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達情境規劃；無真實名冊。</w:t>
            </w:r>
          </w:p>
        </w:tc>
        <w:tc>
          <w:tcPr>
            <w:tcW w:type="dxa" w:w="1584"/>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58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出席人次</w:t>
            </w:r>
          </w:p>
        </w:tc>
        <w:tc>
          <w:tcPr>
            <w:tcW w:type="dxa" w:w="172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24 應到人次</w:t>
            </w:r>
          </w:p>
        </w:tc>
        <w:tc>
          <w:tcPr>
            <w:tcW w:type="dxa" w:w="208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22 實到；91.7%</w:t>
            </w:r>
          </w:p>
        </w:tc>
        <w:tc>
          <w:tcPr>
            <w:tcW w:type="dxa" w:w="288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缺席原因待逐日簽到核實。</w:t>
            </w:r>
          </w:p>
        </w:tc>
        <w:tc>
          <w:tcPr>
            <w:tcW w:type="dxa" w:w="158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58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有效評量</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8 人目標</w:t>
            </w:r>
          </w:p>
        </w:tc>
        <w:tc>
          <w:tcPr>
            <w:tcW w:type="dxa" w:w="208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8 人有效</w:t>
            </w:r>
          </w:p>
        </w:tc>
        <w:tc>
          <w:tcPr>
            <w:tcW w:type="dxa" w:w="288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情境全數納入；無真實評量名冊。</w:t>
            </w:r>
          </w:p>
        </w:tc>
        <w:tc>
          <w:tcPr>
            <w:tcW w:type="dxa" w:w="1584"/>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58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學員回饋</w:t>
            </w:r>
          </w:p>
        </w:tc>
        <w:tc>
          <w:tcPr>
            <w:tcW w:type="dxa" w:w="172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8 份目標</w:t>
            </w:r>
          </w:p>
        </w:tc>
        <w:tc>
          <w:tcPr>
            <w:tcW w:type="dxa" w:w="208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8 份情境回覆</w:t>
            </w:r>
          </w:p>
        </w:tc>
        <w:tc>
          <w:tcPr>
            <w:tcW w:type="dxa" w:w="288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無真實問卷或回收清冊。</w:t>
            </w:r>
          </w:p>
        </w:tc>
        <w:tc>
          <w:tcPr>
            <w:tcW w:type="dxa" w:w="158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bl>
    <w:p>
      <w:pPr>
        <w:pStyle w:val="Heading1"/>
        <w:keepNext/>
      </w:pPr>
      <w:r>
        <w:t>四　目標—評量—結果—差距—改善</w:t>
      </w:r>
    </w:p>
    <w:tbl>
      <w:tblPr>
        <w:tblStyle w:val="TableGrid"/>
        <w:tblW w:type="auto" w:w="0"/>
        <w:jc w:val="center"/>
        <w:tblLayout w:type="fixed"/>
        <w:tblLook w:firstColumn="1" w:firstRow="1" w:lastColumn="0" w:lastRow="0" w:noHBand="0" w:noVBand="1" w:val="04A0"/>
      </w:tblPr>
      <w:tblGrid>
        <w:gridCol w:w="1944"/>
        <w:gridCol w:w="2016"/>
        <w:gridCol w:w="2376"/>
        <w:gridCol w:w="2880"/>
        <w:gridCol w:w="1440"/>
      </w:tblGrid>
      <w:tr>
        <w:trPr>
          <w:tblHeader w:val="true"/>
        </w:trPr>
        <w:tc>
          <w:tcPr>
            <w:tcW w:type="dxa" w:w="1944"/>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目標／評量</w:t>
            </w:r>
          </w:p>
        </w:tc>
        <w:tc>
          <w:tcPr>
            <w:tcW w:type="dxa" w:w="2016"/>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門檻（情境提案）</w:t>
            </w:r>
          </w:p>
        </w:tc>
        <w:tc>
          <w:tcPr>
            <w:tcW w:type="dxa" w:w="2376"/>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情境結果</w:t>
            </w:r>
          </w:p>
        </w:tc>
        <w:tc>
          <w:tcPr>
            <w:tcW w:type="dxa" w:w="2880"/>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差距分析與改善</w:t>
            </w:r>
          </w:p>
        </w:tc>
        <w:tc>
          <w:tcPr>
            <w:tcW w:type="dxa" w:w="1440"/>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資料性質</w:t>
            </w:r>
          </w:p>
        </w:tc>
      </w:tr>
      <w:tr>
        <w:trPr>
          <w:cantSplit/>
        </w:trPr>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安全與非醫療界線知識</w:t>
            </w:r>
          </w:p>
        </w:tc>
        <w:tc>
          <w:tcPr>
            <w:tcW w:type="dxa" w:w="201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至少 80% 有效受評者達 70 分</w:t>
            </w:r>
          </w:p>
        </w:tc>
        <w:tc>
          <w:tcPr>
            <w:tcW w:type="dxa" w:w="237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7/8；87.5%；前 59.0 → 後 82.5 分</w:t>
            </w:r>
          </w:p>
        </w:tc>
        <w:tc>
          <w:tcPr>
            <w:tcW w:type="dxa" w:w="288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情境達成；以去識別原始作答重算並分析錯題。</w:t>
            </w:r>
          </w:p>
        </w:tc>
        <w:tc>
          <w:tcPr>
            <w:tcW w:type="dxa" w:w="1440"/>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94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安全實作步驟</w:t>
            </w:r>
          </w:p>
        </w:tc>
        <w:tc>
          <w:tcPr>
            <w:tcW w:type="dxa" w:w="201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8/8 人通過</w:t>
            </w:r>
          </w:p>
        </w:tc>
        <w:tc>
          <w:tcPr>
            <w:tcW w:type="dxa" w:w="237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7/8 通過；一人待加強</w:t>
            </w:r>
          </w:p>
        </w:tc>
        <w:tc>
          <w:tcPr>
            <w:tcW w:type="dxa" w:w="288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部分達成；增加引導練習，依同一規準再評。</w:t>
            </w:r>
          </w:p>
        </w:tc>
        <w:tc>
          <w:tcPr>
            <w:tcW w:type="dxa" w:w="144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課程反應</w:t>
            </w:r>
          </w:p>
        </w:tc>
        <w:tc>
          <w:tcPr>
            <w:tcW w:type="dxa" w:w="201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平均至少 4.0/5</w:t>
            </w:r>
          </w:p>
        </w:tc>
        <w:tc>
          <w:tcPr>
            <w:tcW w:type="dxa" w:w="237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4.4/5；8 份</w:t>
            </w:r>
          </w:p>
        </w:tc>
        <w:tc>
          <w:tcPr>
            <w:tcW w:type="dxa" w:w="288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情境達成；查核題目、量尺、有效樣本與回收。</w:t>
            </w:r>
          </w:p>
        </w:tc>
        <w:tc>
          <w:tcPr>
            <w:tcW w:type="dxa" w:w="1440"/>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94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訓後學習應用追蹤</w:t>
            </w:r>
          </w:p>
        </w:tc>
        <w:tc>
          <w:tcPr>
            <w:tcW w:type="dxa" w:w="201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回覆率至少 75.0%</w:t>
            </w:r>
          </w:p>
        </w:tc>
        <w:tc>
          <w:tcPr>
            <w:tcW w:type="dxa" w:w="237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6/8；75.0%</w:t>
            </w:r>
          </w:p>
        </w:tc>
        <w:tc>
          <w:tcPr>
            <w:tcW w:type="dxa" w:w="288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情境達成；只描述學習應用，不推論健康結果。</w:t>
            </w:r>
          </w:p>
        </w:tc>
        <w:tc>
          <w:tcPr>
            <w:tcW w:type="dxa" w:w="144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bl>
    <w:p>
      <w:pPr>
        <w:pStyle w:val="Caption"/>
        <w:keepNext/>
      </w:pPr>
      <w:r>
        <w:t>計算口徑</w:t>
      </w:r>
    </w:p>
    <w:tbl>
      <w:tblPr>
        <w:tblStyle w:val="TableGrid"/>
        <w:tblW w:type="auto" w:w="0"/>
        <w:jc w:val="center"/>
        <w:tblLayout w:type="fixed"/>
        <w:tblLook w:firstColumn="1" w:firstRow="1" w:lastColumn="0" w:lastRow="0" w:noHBand="0" w:noVBand="1" w:val="04A0"/>
      </w:tblPr>
      <w:tblGrid>
        <w:gridCol w:w="1584"/>
        <w:gridCol w:w="4680"/>
        <w:gridCol w:w="2736"/>
        <w:gridCol w:w="1512"/>
      </w:tblGrid>
      <w:tr>
        <w:trPr>
          <w:tblHeader w:val="true"/>
        </w:trPr>
        <w:tc>
          <w:tcPr>
            <w:tcW w:type="dxa" w:w="1584"/>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計算</w:t>
            </w:r>
          </w:p>
        </w:tc>
        <w:tc>
          <w:tcPr>
            <w:tcW w:type="dxa" w:w="4680"/>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公式與情境結果</w:t>
            </w:r>
          </w:p>
        </w:tc>
        <w:tc>
          <w:tcPr>
            <w:tcW w:type="dxa" w:w="2736"/>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判讀</w:t>
            </w:r>
          </w:p>
        </w:tc>
        <w:tc>
          <w:tcPr>
            <w:tcW w:type="dxa" w:w="1512"/>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資料性質</w:t>
            </w:r>
          </w:p>
        </w:tc>
      </w:tr>
      <w:tr>
        <w:trPr>
          <w:cantSplit/>
        </w:trPr>
        <w:tc>
          <w:tcPr>
            <w:tcW w:type="dxa" w:w="158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出席率</w:t>
            </w:r>
          </w:p>
        </w:tc>
        <w:tc>
          <w:tcPr>
            <w:tcW w:type="dxa" w:w="468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實到人次／應到人次 = 22/24 = 91.7%</w:t>
            </w:r>
          </w:p>
        </w:tc>
        <w:tc>
          <w:tcPr>
            <w:tcW w:type="dxa" w:w="27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按人次計，需逐日簽到原件。</w:t>
            </w:r>
          </w:p>
        </w:tc>
        <w:tc>
          <w:tcPr>
            <w:tcW w:type="dxa" w:w="1512"/>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58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及格率</w:t>
            </w:r>
          </w:p>
        </w:tc>
        <w:tc>
          <w:tcPr>
            <w:tcW w:type="dxa" w:w="468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及格人數／有效受評人數 = 7/8 = 87.5%</w:t>
            </w:r>
          </w:p>
        </w:tc>
        <w:tc>
          <w:tcPr>
            <w:tcW w:type="dxa" w:w="273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僅以有效受評者為分母；實作另列。</w:t>
            </w:r>
          </w:p>
        </w:tc>
        <w:tc>
          <w:tcPr>
            <w:tcW w:type="dxa" w:w="151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58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預算差異率</w:t>
            </w:r>
          </w:p>
        </w:tc>
        <w:tc>
          <w:tcPr>
            <w:tcW w:type="dxa" w:w="468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(實際－預算)／預算 = (22,800－24,000)／24,000 = -5.0%</w:t>
            </w:r>
          </w:p>
        </w:tc>
        <w:tc>
          <w:tcPr>
            <w:tcW w:type="dxa" w:w="27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負值表示情境支出低於情境額度；帳證未核。</w:t>
            </w:r>
          </w:p>
        </w:tc>
        <w:tc>
          <w:tcPr>
            <w:tcW w:type="dxa" w:w="1512"/>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bl>
    <w:p>
      <w:pPr>
        <w:pStyle w:val="Heading1"/>
        <w:keepNext/>
      </w:pPr>
      <w:r>
        <w:t>五　預算 vs 實際收支表</w:t>
      </w:r>
    </w:p>
    <w:p>
      <w:pPr>
        <w:keepLines/>
      </w:pPr>
      <w:r>
        <w:rPr>
          <w:rFonts w:ascii="Microsoft JhengHei" w:hAnsi="Microsoft JhengHei" w:eastAsia="Microsoft JhengHei"/>
          <w:b/>
          <w:color w:val="9B2A26"/>
          <w:sz w:val="18"/>
        </w:rPr>
        <w:t>【擬真示例／非協會實際資料】</w:t>
      </w:r>
      <w:r>
        <w:t xml:space="preserve"> </w:t>
      </w:r>
      <w:r>
        <w:t>所有金額是情境假設，不表示交易已發生；沒有實際核銷、憑證、付款或會計分錄。</w:t>
      </w:r>
    </w:p>
    <w:tbl>
      <w:tblPr>
        <w:tblStyle w:val="TableGrid"/>
        <w:tblW w:type="auto" w:w="0"/>
        <w:jc w:val="center"/>
        <w:tblLayout w:type="fixed"/>
        <w:tblLook w:firstColumn="1" w:firstRow="1" w:lastColumn="0" w:lastRow="0" w:noHBand="0" w:noVBand="1" w:val="04A0"/>
      </w:tblPr>
      <w:tblGrid>
        <w:gridCol w:w="2232"/>
        <w:gridCol w:w="1728"/>
        <w:gridCol w:w="1728"/>
        <w:gridCol w:w="2376"/>
        <w:gridCol w:w="2016"/>
      </w:tblGrid>
      <w:tr>
        <w:trPr>
          <w:tblHeader w:val="true"/>
        </w:trPr>
        <w:tc>
          <w:tcPr>
            <w:tcW w:type="dxa" w:w="2232"/>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項目</w:t>
            </w:r>
          </w:p>
        </w:tc>
        <w:tc>
          <w:tcPr>
            <w:tcW w:type="dxa" w:w="1728"/>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預算（情境）</w:t>
            </w:r>
          </w:p>
        </w:tc>
        <w:tc>
          <w:tcPr>
            <w:tcW w:type="dxa" w:w="1728"/>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實際（情境）</w:t>
            </w:r>
          </w:p>
        </w:tc>
        <w:tc>
          <w:tcPr>
            <w:tcW w:type="dxa" w:w="2376"/>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差額／差異率</w:t>
            </w:r>
          </w:p>
        </w:tc>
        <w:tc>
          <w:tcPr>
            <w:tcW w:type="dxa" w:w="2016"/>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資料性質</w:t>
            </w:r>
          </w:p>
        </w:tc>
      </w:tr>
      <w:tr>
        <w:trPr>
          <w:cantSplit/>
        </w:trPr>
        <w:tc>
          <w:tcPr>
            <w:tcW w:type="dxa" w:w="2232"/>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講師與教學支援</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8,000 元</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8,000 元</w:t>
            </w:r>
          </w:p>
        </w:tc>
        <w:tc>
          <w:tcPr>
            <w:tcW w:type="dxa" w:w="237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0 元</w:t>
            </w:r>
          </w:p>
        </w:tc>
        <w:tc>
          <w:tcPr>
            <w:tcW w:type="dxa" w:w="2016"/>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223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場地與設備</w:t>
            </w:r>
          </w:p>
        </w:tc>
        <w:tc>
          <w:tcPr>
            <w:tcW w:type="dxa" w:w="172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6,000 元</w:t>
            </w:r>
          </w:p>
        </w:tc>
        <w:tc>
          <w:tcPr>
            <w:tcW w:type="dxa" w:w="172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5,600 元</w:t>
            </w:r>
          </w:p>
        </w:tc>
        <w:tc>
          <w:tcPr>
            <w:tcW w:type="dxa" w:w="237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-400 元</w:t>
            </w:r>
          </w:p>
        </w:tc>
        <w:tc>
          <w:tcPr>
            <w:tcW w:type="dxa" w:w="201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2232"/>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教材與印製</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5,000 元</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4,400 元</w:t>
            </w:r>
          </w:p>
        </w:tc>
        <w:tc>
          <w:tcPr>
            <w:tcW w:type="dxa" w:w="237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-600 元</w:t>
            </w:r>
          </w:p>
        </w:tc>
        <w:tc>
          <w:tcPr>
            <w:tcW w:type="dxa" w:w="2016"/>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223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安全與行政作業</w:t>
            </w:r>
          </w:p>
        </w:tc>
        <w:tc>
          <w:tcPr>
            <w:tcW w:type="dxa" w:w="172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5,000 元</w:t>
            </w:r>
          </w:p>
        </w:tc>
        <w:tc>
          <w:tcPr>
            <w:tcW w:type="dxa" w:w="172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4,800 元</w:t>
            </w:r>
          </w:p>
        </w:tc>
        <w:tc>
          <w:tcPr>
            <w:tcW w:type="dxa" w:w="237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-200 元</w:t>
            </w:r>
          </w:p>
        </w:tc>
        <w:tc>
          <w:tcPr>
            <w:tcW w:type="dxa" w:w="201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2232"/>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合計</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24,000 元</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22,800 元</w:t>
            </w:r>
          </w:p>
        </w:tc>
        <w:tc>
          <w:tcPr>
            <w:tcW w:type="dxa" w:w="237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-1,200 元；-5.0%</w:t>
            </w:r>
          </w:p>
        </w:tc>
        <w:tc>
          <w:tcPr>
            <w:tcW w:type="dxa" w:w="2016"/>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bl>
    <w:p>
      <w:pPr>
        <w:keepLines/>
      </w:pPr>
      <w:r>
        <w:rPr>
          <w:rFonts w:ascii="Microsoft JhengHei" w:hAnsi="Microsoft JhengHei" w:eastAsia="Microsoft JhengHei"/>
          <w:b/>
          <w:color w:val="9B2A26"/>
          <w:sz w:val="18"/>
        </w:rPr>
        <w:t>【擬真示例／非協會實際資料】</w:t>
      </w:r>
      <w:r>
        <w:t xml:space="preserve"> </w:t>
      </w:r>
      <w:r>
        <w:t>情境解讀：場地設備與教材印製假設支出低於估列，講師支援維持假設額度。節餘本身不能證明採購適當或效率；須取得預算核准、帳證、付款及實際使用紀錄後再判斷。</w:t>
      </w:r>
    </w:p>
    <w:p>
      <w:pPr>
        <w:pStyle w:val="Heading1"/>
        <w:keepNext/>
      </w:pPr>
      <w:r>
        <w:t>六　學習成果與滿意度摘要圖</w:t>
      </w:r>
    </w:p>
    <w:p>
      <w:pPr>
        <w:keepLines/>
      </w:pPr>
      <w:r>
        <w:rPr>
          <w:rFonts w:ascii="Microsoft JhengHei" w:hAnsi="Microsoft JhengHei" w:eastAsia="Microsoft JhengHei"/>
          <w:b/>
          <w:color w:val="9B2A26"/>
          <w:sz w:val="18"/>
        </w:rPr>
        <w:t>【擬真示例／非協會實際資料】</w:t>
      </w:r>
      <w:r>
        <w:t xml:space="preserve"> </w:t>
      </w:r>
      <w:r>
        <w:t>每格約為一成的視覺刻度，條長僅供快速比較，精確值以右欄為準。滿意度以 4.4/5 換算成 88/100，不能解讀為與評量分數相同量尺。</w:t>
      </w:r>
    </w:p>
    <w:p>
      <w:pPr>
        <w:pStyle w:val="Caption"/>
        <w:keepNext/>
      </w:pPr>
      <w:r>
        <w:t>圖 1　學習成果與滿意度摘要（擬真示例／非協會實際資料）</w:t>
      </w:r>
    </w:p>
    <w:tbl>
      <w:tblPr>
        <w:tblStyle w:val="TableGrid"/>
        <w:tblW w:type="auto" w:w="0"/>
        <w:jc w:val="center"/>
        <w:tblLayout w:type="fixed"/>
        <w:tblLook w:firstColumn="1" w:firstRow="1" w:lastColumn="0" w:lastRow="0" w:noHBand="0" w:noVBand="1" w:val="04A0"/>
      </w:tblPr>
      <w:tblGrid>
        <w:gridCol w:w="1728"/>
        <w:gridCol w:w="389"/>
        <w:gridCol w:w="389"/>
        <w:gridCol w:w="389"/>
        <w:gridCol w:w="389"/>
        <w:gridCol w:w="389"/>
        <w:gridCol w:w="389"/>
        <w:gridCol w:w="389"/>
        <w:gridCol w:w="389"/>
        <w:gridCol w:w="389"/>
        <w:gridCol w:w="389"/>
        <w:gridCol w:w="1944"/>
        <w:gridCol w:w="1800"/>
      </w:tblGrid>
      <w:tr>
        <w:trPr>
          <w:tblHeader w:val="true"/>
        </w:trPr>
        <w:tc>
          <w:tcPr>
            <w:tcW w:type="dxa" w:w="1728"/>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3"/>
              </w:rPr>
              <w:t>指標</w:t>
            </w:r>
          </w:p>
        </w:tc>
        <w:tc>
          <w:tcPr>
            <w:tcW w:type="dxa" w:w="389"/>
            <w:gridSpan w:val="10"/>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3"/>
              </w:rPr>
              <w:t>標準化示意條（每格約 10%）</w:t>
            </w:r>
          </w:p>
        </w:tc>
        <w:tc>
          <w:tcPr>
            <w:tcW w:type="dxa" w:w="1944"/>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3"/>
              </w:rPr>
              <w:t>精確值</w:t>
            </w:r>
          </w:p>
        </w:tc>
        <w:tc>
          <w:tcPr>
            <w:tcW w:type="dxa" w:w="1800"/>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3"/>
              </w:rPr>
              <w:t>資料性質</w:t>
            </w:r>
          </w:p>
        </w:tc>
      </w:tr>
      <w:tr>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3"/>
              </w:rPr>
              <w:t>前測平均</w:t>
            </w:r>
          </w:p>
        </w:tc>
        <w:tc>
          <w:tcPr>
            <w:tcW w:type="dxa" w:w="389"/>
            <w:vAlign w:val="center"/>
            <w:tcMar>
              <w:top w:w="60" w:type="dxa"/>
              <w:start w:w="65" w:type="dxa"/>
              <w:bottom w:w="60" w:type="dxa"/>
              <w:end w:w="65" w:type="dxa"/>
            </w:tcMar>
            <w:shd w:fill="4F81BD"/>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4F81BD"/>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4F81BD"/>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4F81BD"/>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4F81BD"/>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4F81BD"/>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E7EDF0"/>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E7EDF0"/>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E7EDF0"/>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E7EDF0"/>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2"/>
              </w:rPr>
              <w:t>59.0/100；n=8</w:t>
            </w:r>
          </w:p>
        </w:tc>
        <w:tc>
          <w:tcPr>
            <w:tcW w:type="dxa" w:w="1800"/>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1"/>
              </w:rPr>
              <w:t>擬真示例／非協會實際資料</w:t>
            </w:r>
          </w:p>
        </w:tc>
      </w:tr>
      <w:tr>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3"/>
              </w:rPr>
              <w:t>後測平均</w:t>
            </w:r>
          </w:p>
        </w:tc>
        <w:tc>
          <w:tcPr>
            <w:tcW w:type="dxa" w:w="389"/>
            <w:vAlign w:val="center"/>
            <w:tcMar>
              <w:top w:w="60" w:type="dxa"/>
              <w:start w:w="65" w:type="dxa"/>
              <w:bottom w:w="60" w:type="dxa"/>
              <w:end w:w="65" w:type="dxa"/>
            </w:tcMar>
            <w:shd w:fill="2C8C8C"/>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2C8C8C"/>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2C8C8C"/>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2C8C8C"/>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2C8C8C"/>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2C8C8C"/>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2C8C8C"/>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2C8C8C"/>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E7EDF0"/>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E7EDF0"/>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2"/>
              </w:rPr>
              <w:t>82.5/100；n=8</w:t>
            </w:r>
          </w:p>
        </w:tc>
        <w:tc>
          <w:tcPr>
            <w:tcW w:type="dxa" w:w="1800"/>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1"/>
              </w:rPr>
              <w:t>擬真示例／非協會實際資料</w:t>
            </w:r>
          </w:p>
        </w:tc>
      </w:tr>
      <w:tr>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3"/>
              </w:rPr>
              <w:t>學員滿意度</w:t>
            </w:r>
          </w:p>
        </w:tc>
        <w:tc>
          <w:tcPr>
            <w:tcW w:type="dxa" w:w="389"/>
            <w:vAlign w:val="center"/>
            <w:tcMar>
              <w:top w:w="60" w:type="dxa"/>
              <w:start w:w="65" w:type="dxa"/>
              <w:bottom w:w="60" w:type="dxa"/>
              <w:end w:w="65" w:type="dxa"/>
            </w:tcMar>
            <w:shd w:fill="D39B2A"/>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D39B2A"/>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D39B2A"/>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D39B2A"/>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D39B2A"/>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D39B2A"/>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D39B2A"/>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D39B2A"/>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D39B2A"/>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389"/>
            <w:vAlign w:val="center"/>
            <w:tcMar>
              <w:top w:w="60" w:type="dxa"/>
              <w:start w:w="65" w:type="dxa"/>
              <w:bottom w:w="60" w:type="dxa"/>
              <w:end w:w="65" w:type="dxa"/>
            </w:tcMar>
            <w:shd w:fill="E7EDF0"/>
            <w:tcMar>
              <w:top w:w="60" w:type="dxa"/>
              <w:start w:w="65" w:type="dxa"/>
              <w:bottom w:w="60" w:type="dxa"/>
              <w:end w:w="65" w:type="dxa"/>
            </w:tcMar>
          </w:tcPr>
          <w:p>
            <w:pPr>
              <w:spacing w:after="0" w:line="240" w:lineRule="auto"/>
            </w:pPr>
            <w:r/>
            <w:r>
              <w:rPr>
                <w:rFonts w:ascii="Microsoft JhengHei" w:hAnsi="Microsoft JhengHei" w:eastAsia="Microsoft JhengHei"/>
                <w:b w:val="0"/>
                <w:sz w:val="12"/>
              </w:rPr>
              <w:t xml:space="preserve"> </w:t>
            </w:r>
          </w:p>
        </w:tc>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2"/>
              </w:rPr>
              <w:t>4.4/5 = 88.0/100；n=8</w:t>
            </w:r>
          </w:p>
        </w:tc>
        <w:tc>
          <w:tcPr>
            <w:tcW w:type="dxa" w:w="1800"/>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1"/>
              </w:rPr>
              <w:t>擬真示例／非協會實際資料</w:t>
            </w:r>
          </w:p>
        </w:tc>
      </w:tr>
    </w:tbl>
    <w:p>
      <w:pPr>
        <w:keepLines/>
      </w:pPr>
      <w:r>
        <w:t>圖源：本稿情境彙總，非問卷或評量原件。前後測各 8 份有效情境評量；滿意度 8 份情境回覆。各數值均為 擬真示例／非協會實際資料，未呈現個人資料。</w:t>
      </w:r>
    </w:p>
    <w:p>
      <w:pPr>
        <w:pStyle w:val="Heading1"/>
        <w:keepNext/>
      </w:pPr>
      <w:r>
        <w:t>七　問題—根因—措施—責任—期限</w:t>
      </w:r>
    </w:p>
    <w:p>
      <w:pPr>
        <w:keepLines/>
      </w:pPr>
      <w:r>
        <w:rPr>
          <w:rFonts w:ascii="Microsoft JhengHei" w:hAnsi="Microsoft JhengHei" w:eastAsia="Microsoft JhengHei"/>
          <w:b/>
          <w:color w:val="9B2A26"/>
          <w:sz w:val="18"/>
        </w:rPr>
        <w:t>【擬真示例／非協會實際資料】</w:t>
      </w:r>
      <w:r>
        <w:t xml:space="preserve"> </w:t>
      </w:r>
      <w:r>
        <w:t>下列為情境根因假設與改善提案。責任者僅到角色層級，未指定真人，期限不形成協會承諾。</w:t>
      </w:r>
    </w:p>
    <w:tbl>
      <w:tblPr>
        <w:tblStyle w:val="TableGrid"/>
        <w:tblW w:type="auto" w:w="0"/>
        <w:jc w:val="center"/>
        <w:tblLayout w:type="fixed"/>
        <w:tblLook w:firstColumn="1" w:firstRow="1" w:lastColumn="0" w:lastRow="0" w:noHBand="0" w:noVBand="1" w:val="04A0"/>
      </w:tblPr>
      <w:tblGrid>
        <w:gridCol w:w="1440"/>
        <w:gridCol w:w="1800"/>
        <w:gridCol w:w="2376"/>
        <w:gridCol w:w="1728"/>
        <w:gridCol w:w="1368"/>
        <w:gridCol w:w="1440"/>
      </w:tblGrid>
      <w:tr>
        <w:trPr>
          <w:tblHeader w:val="true"/>
        </w:trPr>
        <w:tc>
          <w:tcPr>
            <w:tcW w:type="dxa" w:w="1440"/>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3"/>
              </w:rPr>
              <w:t>問題</w:t>
            </w:r>
          </w:p>
        </w:tc>
        <w:tc>
          <w:tcPr>
            <w:tcW w:type="dxa" w:w="1800"/>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3"/>
              </w:rPr>
              <w:t>情境根因</w:t>
            </w:r>
          </w:p>
        </w:tc>
        <w:tc>
          <w:tcPr>
            <w:tcW w:type="dxa" w:w="2376"/>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3"/>
              </w:rPr>
              <w:t>措施及完成證據</w:t>
            </w:r>
          </w:p>
        </w:tc>
        <w:tc>
          <w:tcPr>
            <w:tcW w:type="dxa" w:w="1728"/>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3"/>
              </w:rPr>
              <w:t>責任角色（提案）</w:t>
            </w:r>
          </w:p>
        </w:tc>
        <w:tc>
          <w:tcPr>
            <w:tcW w:type="dxa" w:w="1368"/>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3"/>
              </w:rPr>
              <w:t>期限（提案）</w:t>
            </w:r>
          </w:p>
        </w:tc>
        <w:tc>
          <w:tcPr>
            <w:tcW w:type="dxa" w:w="1440"/>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3"/>
              </w:rPr>
              <w:t>資料性質</w:t>
            </w:r>
          </w:p>
        </w:tc>
      </w:tr>
      <w:tr>
        <w:trPr>
          <w:cantSplit/>
        </w:trPr>
        <w:tc>
          <w:tcPr>
            <w:tcW w:type="dxa" w:w="1440"/>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3"/>
              </w:rPr>
              <w:t>場地輪替配置</w:t>
            </w:r>
          </w:p>
        </w:tc>
        <w:tc>
          <w:tcPr>
            <w:tcW w:type="dxa" w:w="180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站點輪替流程未先演練</w:t>
            </w:r>
          </w:p>
        </w:tc>
        <w:tc>
          <w:tcPr>
            <w:tcW w:type="dxa" w:w="237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課前試排動線並記錄等待事件</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課務承辦角色（擬真提案）</w:t>
            </w:r>
          </w:p>
        </w:tc>
        <w:tc>
          <w:tcPr>
            <w:tcW w:type="dxa" w:w="136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2026-10-01</w:t>
            </w:r>
          </w:p>
        </w:tc>
        <w:tc>
          <w:tcPr>
            <w:tcW w:type="dxa" w:w="1440"/>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144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3"/>
              </w:rPr>
              <w:t>實作補練</w:t>
            </w:r>
          </w:p>
        </w:tc>
        <w:tc>
          <w:tcPr>
            <w:tcW w:type="dxa" w:w="180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引導練習不足，錯誤未能即時重做</w:t>
            </w:r>
          </w:p>
        </w:tc>
        <w:tc>
          <w:tcPr>
            <w:tcW w:type="dxa" w:w="237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增加一回合引導練習並依同規準再評</w:t>
            </w:r>
          </w:p>
        </w:tc>
        <w:tc>
          <w:tcPr>
            <w:tcW w:type="dxa" w:w="172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教學角色（擬真提案）</w:t>
            </w:r>
          </w:p>
        </w:tc>
        <w:tc>
          <w:tcPr>
            <w:tcW w:type="dxa" w:w="136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3"/>
              </w:rPr>
              <w:t>2026-10-05</w:t>
            </w:r>
          </w:p>
        </w:tc>
        <w:tc>
          <w:tcPr>
            <w:tcW w:type="dxa" w:w="144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r>
        <w:trPr>
          <w:cantSplit/>
        </w:trPr>
        <w:tc>
          <w:tcPr>
            <w:tcW w:type="dxa" w:w="1440"/>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3"/>
              </w:rPr>
              <w:t>教材拆解</w:t>
            </w:r>
          </w:p>
        </w:tc>
        <w:tc>
          <w:tcPr>
            <w:tcW w:type="dxa" w:w="180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步驟資訊過密、順序提示不足</w:t>
            </w:r>
          </w:p>
        </w:tc>
        <w:tc>
          <w:tcPr>
            <w:tcW w:type="dxa" w:w="237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拆成逐步核對卡並蒐集可讀性回饋</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教材設計角色（擬真提案）</w:t>
            </w:r>
          </w:p>
        </w:tc>
        <w:tc>
          <w:tcPr>
            <w:tcW w:type="dxa" w:w="136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3"/>
              </w:rPr>
              <w:t>2026-10-08</w:t>
            </w:r>
          </w:p>
        </w:tc>
        <w:tc>
          <w:tcPr>
            <w:tcW w:type="dxa" w:w="1440"/>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3"/>
              </w:rPr>
              <w:t>擬真示例／非協會實際資料</w:t>
            </w:r>
          </w:p>
        </w:tc>
      </w:tr>
    </w:tbl>
    <w:p>
      <w:pPr>
        <w:keepLines/>
      </w:pPr>
      <w:r>
        <w:t>REAL 條件：有權主管須重新指定負責人、核定期限與資源；每項措施附核准版本、完成證據及效果檢查。不得沿用本表中的情境角色或日期。</w:t>
      </w:r>
    </w:p>
    <w:p>
      <w:pPr>
        <w:pStyle w:val="Heading1"/>
        <w:keepNext/>
      </w:pPr>
      <w:r>
        <w:t>八　I15-E02 專屬要求追溯表</w:t>
      </w:r>
    </w:p>
    <w:p>
      <w:pPr>
        <w:keepLines/>
      </w:pPr>
      <w:r>
        <w:t>表內情境結果與 SIM-E-* 定位碼均為 擬真示例／非協會實際資料；示例索引沒有實際檔案。</w:t>
      </w:r>
    </w:p>
    <w:tbl>
      <w:tblPr>
        <w:tblStyle w:val="TableGrid"/>
        <w:tblW w:type="auto" w:w="0"/>
        <w:jc w:val="center"/>
        <w:tblLayout w:type="fixed"/>
        <w:tblLook w:firstColumn="1" w:firstRow="1" w:lastColumn="0" w:lastRow="0" w:noHBand="0" w:noVBand="1" w:val="04A0"/>
      </w:tblPr>
      <w:tblGrid>
        <w:gridCol w:w="1296"/>
        <w:gridCol w:w="1656"/>
        <w:gridCol w:w="1512"/>
        <w:gridCol w:w="1728"/>
        <w:gridCol w:w="1440"/>
        <w:gridCol w:w="1584"/>
        <w:gridCol w:w="1296"/>
      </w:tblGrid>
      <w:tr>
        <w:trPr>
          <w:tblHeader w:val="true"/>
        </w:trPr>
        <w:tc>
          <w:tcPr>
            <w:tcW w:type="dxa" w:w="1296"/>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2"/>
              </w:rPr>
              <w:t>官方要求</w:t>
            </w:r>
          </w:p>
        </w:tc>
        <w:tc>
          <w:tcPr>
            <w:tcW w:type="dxa" w:w="1656"/>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2"/>
              </w:rPr>
              <w:t>資料來源</w:t>
            </w:r>
          </w:p>
        </w:tc>
        <w:tc>
          <w:tcPr>
            <w:tcW w:type="dxa" w:w="1512"/>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2"/>
              </w:rPr>
              <w:t>欄位／指標</w:t>
            </w:r>
          </w:p>
        </w:tc>
        <w:tc>
          <w:tcPr>
            <w:tcW w:type="dxa" w:w="1728"/>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2"/>
              </w:rPr>
              <w:t>情境結果</w:t>
            </w:r>
          </w:p>
        </w:tc>
        <w:tc>
          <w:tcPr>
            <w:tcW w:type="dxa" w:w="1440"/>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2"/>
              </w:rPr>
              <w:t>證據位置</w:t>
            </w:r>
          </w:p>
        </w:tc>
        <w:tc>
          <w:tcPr>
            <w:tcW w:type="dxa" w:w="1584"/>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2"/>
              </w:rPr>
              <w:t>覆核</w:t>
            </w:r>
          </w:p>
        </w:tc>
        <w:tc>
          <w:tcPr>
            <w:tcW w:type="dxa" w:w="1296"/>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2"/>
              </w:rPr>
              <w:t>資料性質</w:t>
            </w:r>
          </w:p>
        </w:tc>
      </w:tr>
      <w:tr>
        <w:trPr>
          <w:cantSplit/>
        </w:trPr>
        <w:tc>
          <w:tcPr>
            <w:tcW w:type="dxa" w:w="1296"/>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2"/>
              </w:rPr>
              <w:t>資源的運用</w:t>
            </w:r>
          </w:p>
        </w:tc>
        <w:tc>
          <w:tcPr>
            <w:tcW w:type="dxa" w:w="165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2"/>
              </w:rPr>
              <w:t>情境資源配置；SIM-E-RESOURCE</w:t>
            </w:r>
          </w:p>
        </w:tc>
        <w:tc>
          <w:tcPr>
            <w:tcW w:type="dxa" w:w="151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2"/>
              </w:rPr>
              <w:t>角色、時數、站點</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2"/>
              </w:rPr>
              <w:t>1 授課、1 支援、18 小時、2 站</w:t>
            </w:r>
          </w:p>
        </w:tc>
        <w:tc>
          <w:tcPr>
            <w:tcW w:type="dxa" w:w="144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2"/>
              </w:rPr>
              <w:t>二-06／09；三；22項6／9</w:t>
            </w:r>
          </w:p>
        </w:tc>
        <w:tc>
          <w:tcPr>
            <w:tcW w:type="dxa" w:w="1584"/>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2"/>
              </w:rPr>
              <w:t>原件待核</w:t>
            </w:r>
          </w:p>
        </w:tc>
        <w:tc>
          <w:tcPr>
            <w:tcW w:type="dxa" w:w="1296"/>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2"/>
              </w:rPr>
              <w:t>擬真示例／非協會實際資料</w:t>
            </w:r>
          </w:p>
        </w:tc>
      </w:tr>
      <w:tr>
        <w:trPr>
          <w:cantSplit/>
        </w:trPr>
        <w:tc>
          <w:tcPr>
            <w:tcW w:type="dxa" w:w="129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2"/>
              </w:rPr>
              <w:t>財務的支配</w:t>
            </w:r>
          </w:p>
        </w:tc>
        <w:tc>
          <w:tcPr>
            <w:tcW w:type="dxa" w:w="165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2"/>
              </w:rPr>
              <w:t>情境收支；SIM-E-BUDGET</w:t>
            </w:r>
          </w:p>
        </w:tc>
        <w:tc>
          <w:tcPr>
            <w:tcW w:type="dxa" w:w="151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2"/>
              </w:rPr>
              <w:t>預算、情境支出、差額與率</w:t>
            </w:r>
          </w:p>
        </w:tc>
        <w:tc>
          <w:tcPr>
            <w:tcW w:type="dxa" w:w="172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2"/>
              </w:rPr>
              <w:t>24,000／22,800 元；-5.0%</w:t>
            </w:r>
          </w:p>
        </w:tc>
        <w:tc>
          <w:tcPr>
            <w:tcW w:type="dxa" w:w="144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2"/>
              </w:rPr>
              <w:t>五；公式；22項10</w:t>
            </w:r>
          </w:p>
        </w:tc>
        <w:tc>
          <w:tcPr>
            <w:tcW w:type="dxa" w:w="158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2"/>
              </w:rPr>
              <w:t>無核定預算或帳證</w:t>
            </w:r>
          </w:p>
        </w:tc>
        <w:tc>
          <w:tcPr>
            <w:tcW w:type="dxa" w:w="129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2"/>
              </w:rPr>
              <w:t>擬真示例／非協會實際資料</w:t>
            </w:r>
          </w:p>
        </w:tc>
      </w:tr>
      <w:tr>
        <w:trPr>
          <w:cantSplit/>
        </w:trPr>
        <w:tc>
          <w:tcPr>
            <w:tcW w:type="dxa" w:w="1296"/>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2"/>
              </w:rPr>
              <w:t>訓練成果的展現</w:t>
            </w:r>
          </w:p>
        </w:tc>
        <w:tc>
          <w:tcPr>
            <w:tcW w:type="dxa" w:w="165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2"/>
              </w:rPr>
              <w:t>評量／回饋／追蹤；SIM-E-ASSESS等</w:t>
            </w:r>
          </w:p>
        </w:tc>
        <w:tc>
          <w:tcPr>
            <w:tcW w:type="dxa" w:w="151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2"/>
              </w:rPr>
              <w:t>受評、及格、前後測、追蹤</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2"/>
              </w:rPr>
              <w:t>7/8；87.5%；後測82.5；追蹤75.0%</w:t>
            </w:r>
          </w:p>
        </w:tc>
        <w:tc>
          <w:tcPr>
            <w:tcW w:type="dxa" w:w="144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2"/>
              </w:rPr>
              <w:t>四／六；目標表；22項11／12／15</w:t>
            </w:r>
          </w:p>
        </w:tc>
        <w:tc>
          <w:tcPr>
            <w:tcW w:type="dxa" w:w="1584"/>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2"/>
              </w:rPr>
              <w:t>無真實原始資料</w:t>
            </w:r>
          </w:p>
        </w:tc>
        <w:tc>
          <w:tcPr>
            <w:tcW w:type="dxa" w:w="1296"/>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2"/>
              </w:rPr>
              <w:t>擬真示例／非協會實際資料</w:t>
            </w:r>
          </w:p>
        </w:tc>
      </w:tr>
      <w:tr>
        <w:trPr>
          <w:cantSplit/>
        </w:trPr>
        <w:tc>
          <w:tcPr>
            <w:tcW w:type="dxa" w:w="129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2"/>
              </w:rPr>
              <w:t>檢討及改進的方法</w:t>
            </w:r>
          </w:p>
        </w:tc>
        <w:tc>
          <w:tcPr>
            <w:tcW w:type="dxa" w:w="165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2"/>
              </w:rPr>
              <w:t>檢討改善；SIM-E-ANOMALY／SIM-E-CLOSEOUT</w:t>
            </w:r>
          </w:p>
        </w:tc>
        <w:tc>
          <w:tcPr>
            <w:tcW w:type="dxa" w:w="151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2"/>
              </w:rPr>
              <w:t>事件、根因、措施、責任、期限</w:t>
            </w:r>
          </w:p>
        </w:tc>
        <w:tc>
          <w:tcPr>
            <w:tcW w:type="dxa" w:w="172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2"/>
              </w:rPr>
              <w:t>輪替、補練、教材拆解三項情境改善</w:t>
            </w:r>
          </w:p>
        </w:tc>
        <w:tc>
          <w:tcPr>
            <w:tcW w:type="dxa" w:w="144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2"/>
              </w:rPr>
              <w:t>七；二逐項17–20；下一班驗證</w:t>
            </w:r>
          </w:p>
        </w:tc>
        <w:tc>
          <w:tcPr>
            <w:tcW w:type="dxa" w:w="158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2"/>
              </w:rPr>
              <w:t>待真實異常、決議與效果證據</w:t>
            </w:r>
          </w:p>
        </w:tc>
        <w:tc>
          <w:tcPr>
            <w:tcW w:type="dxa" w:w="129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2"/>
              </w:rPr>
              <w:t>擬真示例／非協會實際資料</w:t>
            </w:r>
          </w:p>
        </w:tc>
      </w:tr>
    </w:tbl>
    <w:p>
      <w:pPr>
        <w:keepLines/>
      </w:pPr>
      <w:r>
        <w:t>官方定位：official_evidence_table.pdf 第 5 頁，查核（Review）第 15 項，勾選佐證：「訓練的結案報告，包括資源的運用、財務的支配、訓練成果的展現、檢討及改進的方法。」。本表依要求—資料來源—欄位／指標—結果—證據位置—覆核逐項呈現 I15 的專屬證據邏輯。</w:t>
      </w:r>
    </w:p>
    <w:p>
      <w:pPr>
        <w:pStyle w:val="Heading1"/>
        <w:keepNext/>
      </w:pPr>
      <w:r>
        <w:t>九　結案問題與直接回答</w:t>
      </w:r>
    </w:p>
    <w:p>
      <w:pPr>
        <w:keepNext/>
      </w:pPr>
      <w:r>
        <w:rPr>
          <w:rFonts w:ascii="Microsoft JhengHei" w:hAnsi="Microsoft JhengHei" w:eastAsia="Microsoft JhengHei"/>
          <w:b/>
          <w:color w:val="1A435D"/>
          <w:sz w:val="19"/>
        </w:rPr>
        <w:t>目標是否達成？</w:t>
      </w:r>
    </w:p>
    <w:p>
      <w:pPr>
        <w:keepLines/>
      </w:pPr>
      <w:r>
        <w:rPr>
          <w:rFonts w:ascii="Microsoft JhengHei" w:hAnsi="Microsoft JhengHei" w:eastAsia="Microsoft JhengHei"/>
          <w:b/>
          <w:color w:val="9B2A26"/>
          <w:sz w:val="18"/>
        </w:rPr>
        <w:t>【擬真示例／非協會實際資料】</w:t>
      </w:r>
      <w:r>
        <w:t xml:space="preserve"> </w:t>
      </w:r>
      <w:r>
        <w:t>情境中 3/4 項達標、1/4 項部分達標；實作有一人待加強，REAL 判斷須重算。</w:t>
      </w:r>
    </w:p>
    <w:p>
      <w:pPr>
        <w:keepNext/>
      </w:pPr>
      <w:r>
        <w:rPr>
          <w:rFonts w:ascii="Microsoft JhengHei" w:hAnsi="Microsoft JhengHei" w:eastAsia="Microsoft JhengHei"/>
          <w:b/>
          <w:color w:val="1A435D"/>
          <w:sz w:val="19"/>
        </w:rPr>
        <w:t>未達的真正原因？</w:t>
      </w:r>
    </w:p>
    <w:p>
      <w:pPr>
        <w:keepLines/>
      </w:pPr>
      <w:r>
        <w:rPr>
          <w:rFonts w:ascii="Microsoft JhengHei" w:hAnsi="Microsoft JhengHei" w:eastAsia="Microsoft JhengHei"/>
          <w:b/>
          <w:color w:val="9B2A26"/>
          <w:sz w:val="18"/>
        </w:rPr>
        <w:t>【擬真示例／非協會實際資料】</w:t>
      </w:r>
      <w:r>
        <w:t xml:space="preserve"> </w:t>
      </w:r>
      <w:r>
        <w:t>情境分析指向站點輪替未預演、引導練習不足、教材步驟過密；尚未經真實觀察或訪談驗證。</w:t>
      </w:r>
    </w:p>
    <w:p>
      <w:pPr>
        <w:keepNext/>
      </w:pPr>
      <w:r>
        <w:rPr>
          <w:rFonts w:ascii="Microsoft JhengHei" w:hAnsi="Microsoft JhengHei" w:eastAsia="Microsoft JhengHei"/>
          <w:b/>
          <w:color w:val="1A435D"/>
          <w:sz w:val="19"/>
        </w:rPr>
        <w:t>資源與財務是否合理？</w:t>
      </w:r>
    </w:p>
    <w:p>
      <w:pPr>
        <w:keepLines/>
      </w:pPr>
      <w:r>
        <w:rPr>
          <w:rFonts w:ascii="Microsoft JhengHei" w:hAnsi="Microsoft JhengHei" w:eastAsia="Microsoft JhengHei"/>
          <w:b/>
          <w:color w:val="9B2A26"/>
          <w:sz w:val="18"/>
        </w:rPr>
        <w:t>【擬真示例／非協會實際資料】</w:t>
      </w:r>
      <w:r>
        <w:t xml:space="preserve"> </w:t>
      </w:r>
      <w:r>
        <w:t>情境使用 2 站、1 個授課角色、1 個支援角色；支出 22,800 元低於預算 24,000 元。因缺帳證，無法判定真實財務合理性。</w:t>
      </w:r>
    </w:p>
    <w:p>
      <w:pPr>
        <w:keepNext/>
      </w:pPr>
      <w:r>
        <w:rPr>
          <w:rFonts w:ascii="Microsoft JhengHei" w:hAnsi="Microsoft JhengHei" w:eastAsia="Microsoft JhengHei"/>
          <w:b/>
          <w:color w:val="1A435D"/>
          <w:sz w:val="19"/>
        </w:rPr>
        <w:t>下一班如何驗證改善？</w:t>
      </w:r>
    </w:p>
    <w:p>
      <w:pPr>
        <w:keepLines/>
      </w:pPr>
      <w:r>
        <w:rPr>
          <w:rFonts w:ascii="Microsoft JhengHei" w:hAnsi="Microsoft JhengHei" w:eastAsia="Microsoft JhengHei"/>
          <w:b/>
          <w:color w:val="9B2A26"/>
          <w:sz w:val="18"/>
        </w:rPr>
        <w:t>【擬真示例／非協會實際資料】</w:t>
      </w:r>
      <w:r>
        <w:t xml:space="preserve"> </w:t>
      </w:r>
      <w:r>
        <w:t>情境提案以同一規準查核 8/8 通過、排隊 0 件、滿意度至少 4.0/5、追蹤回覆至少 75.0%；開班前須核定真實口徑。</w:t>
      </w:r>
    </w:p>
    <w:p>
      <w:pPr>
        <w:keepNext/>
      </w:pPr>
      <w:r>
        <w:rPr>
          <w:rFonts w:ascii="Microsoft JhengHei" w:hAnsi="Microsoft JhengHei" w:eastAsia="Microsoft JhengHei"/>
          <w:b/>
          <w:color w:val="1A435D"/>
          <w:sz w:val="19"/>
        </w:rPr>
        <w:t>本文件中哪一段/哪一表直接證明：「訓練的結案報告，包括資源的運用、財務的支配、訓練成果的展現、檢討及改進的方法。」？</w:t>
      </w:r>
    </w:p>
    <w:p>
      <w:pPr>
        <w:keepLines/>
      </w:pPr>
      <w:r>
        <w:rPr>
          <w:rFonts w:ascii="Microsoft JhengHei" w:hAnsi="Microsoft JhengHei" w:eastAsia="Microsoft JhengHei"/>
          <w:b/>
          <w:color w:val="9B2A26"/>
          <w:sz w:val="18"/>
        </w:rPr>
        <w:t>【擬真示例／非協會實際資料】</w:t>
      </w:r>
      <w:r>
        <w:t xml:space="preserve"> </w:t>
      </w:r>
      <w:r>
        <w:t>第八節 I15 專屬要求追溯表以資源、財務、成果、檢討改善四列連結來源、指標、結果、證據位置與覆核；第三至第七節提供計畫／情境實際、差距、財務、成果摘要及責任改善明細。以上是模擬示例，不是真實證明。</w:t>
      </w:r>
    </w:p>
    <w:p>
      <w:pPr>
        <w:pStyle w:val="Heading1"/>
        <w:keepNext/>
      </w:pPr>
      <w:r>
        <w:t>十　附件與證據索引</w:t>
      </w:r>
    </w:p>
    <w:p>
      <w:pPr>
        <w:keepLines/>
      </w:pPr>
      <w:r>
        <w:t>SIM-E-* 是報告內虛擬交叉索引，非附件、檔案路徑或第三方原件。缺少原件時不得標示已附或已查驗。</w:t>
      </w:r>
    </w:p>
    <w:tbl>
      <w:tblPr>
        <w:tblStyle w:val="TableGrid"/>
        <w:tblW w:type="auto" w:w="0"/>
        <w:jc w:val="center"/>
        <w:tblLayout w:type="fixed"/>
        <w:tblLook w:firstColumn="1" w:firstRow="1" w:lastColumn="0" w:lastRow="0" w:noHBand="0" w:noVBand="1" w:val="04A0"/>
      </w:tblPr>
      <w:tblGrid>
        <w:gridCol w:w="1944"/>
        <w:gridCol w:w="4680"/>
        <w:gridCol w:w="1944"/>
        <w:gridCol w:w="1728"/>
      </w:tblGrid>
      <w:tr>
        <w:trPr>
          <w:tblHeader w:val="true"/>
        </w:trPr>
        <w:tc>
          <w:tcPr>
            <w:tcW w:type="dxa" w:w="1944"/>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虛擬索引</w:t>
            </w:r>
          </w:p>
        </w:tc>
        <w:tc>
          <w:tcPr>
            <w:tcW w:type="dxa" w:w="4680"/>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須替換的 REAL 原始資料類型</w:t>
            </w:r>
          </w:p>
        </w:tc>
        <w:tc>
          <w:tcPr>
            <w:tcW w:type="dxa" w:w="1944"/>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目前位置／狀態</w:t>
            </w:r>
          </w:p>
        </w:tc>
        <w:tc>
          <w:tcPr>
            <w:tcW w:type="dxa" w:w="1728"/>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資料性質</w:t>
            </w:r>
          </w:p>
        </w:tc>
      </w:tr>
      <w:tr>
        <w:trPr>
          <w:cantSplit/>
        </w:trPr>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SIM-E-CLASSPLAN</w:t>
            </w:r>
          </w:p>
        </w:tc>
        <w:tc>
          <w:tcPr>
            <w:tcW w:type="dxa" w:w="468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核定課程計畫、班別資料、正式課表</w:t>
            </w:r>
          </w:p>
        </w:tc>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虛擬索引；無附件</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94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SIM-E-ATTENDANCE</w:t>
            </w:r>
          </w:p>
        </w:tc>
        <w:tc>
          <w:tcPr>
            <w:tcW w:type="dxa" w:w="468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正式名冊、逐日簽到簽退</w:t>
            </w:r>
          </w:p>
        </w:tc>
        <w:tc>
          <w:tcPr>
            <w:tcW w:type="dxa" w:w="194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虛擬索引；無附件</w:t>
            </w:r>
          </w:p>
        </w:tc>
        <w:tc>
          <w:tcPr>
            <w:tcW w:type="dxa" w:w="172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SIM-E-RESOURCE</w:t>
            </w:r>
          </w:p>
        </w:tc>
        <w:tc>
          <w:tcPr>
            <w:tcW w:type="dxa" w:w="468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師資資格與派任、人力工時、場地設備紀錄</w:t>
            </w:r>
          </w:p>
        </w:tc>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虛擬索引；無附件</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94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SIM-E-BUDGET</w:t>
            </w:r>
          </w:p>
        </w:tc>
        <w:tc>
          <w:tcPr>
            <w:tcW w:type="dxa" w:w="468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核定預算、總帳、傳票、憑證、付款與覆核</w:t>
            </w:r>
          </w:p>
        </w:tc>
        <w:tc>
          <w:tcPr>
            <w:tcW w:type="dxa" w:w="194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虛擬索引；無附件</w:t>
            </w:r>
          </w:p>
        </w:tc>
        <w:tc>
          <w:tcPr>
            <w:tcW w:type="dxa" w:w="172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SIM-E-ASSESS</w:t>
            </w:r>
          </w:p>
        </w:tc>
        <w:tc>
          <w:tcPr>
            <w:tcW w:type="dxa" w:w="468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去識別化前後測、實作規準及覆核</w:t>
            </w:r>
          </w:p>
        </w:tc>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虛擬索引；無附件</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94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SIM-E-FEEDBACK</w:t>
            </w:r>
          </w:p>
        </w:tc>
        <w:tc>
          <w:tcPr>
            <w:tcW w:type="dxa" w:w="468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匿名問卷、回收清冊、講師回饋</w:t>
            </w:r>
          </w:p>
        </w:tc>
        <w:tc>
          <w:tcPr>
            <w:tcW w:type="dxa" w:w="194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虛擬索引；無附件</w:t>
            </w:r>
          </w:p>
        </w:tc>
        <w:tc>
          <w:tcPr>
            <w:tcW w:type="dxa" w:w="172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SIM-E-ANOMALY</w:t>
            </w:r>
          </w:p>
        </w:tc>
        <w:tc>
          <w:tcPr>
            <w:tcW w:type="dxa" w:w="468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異常／未遂事件、處理及追蹤</w:t>
            </w:r>
          </w:p>
        </w:tc>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虛擬索引；無附件</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94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SIM-E-SAFETY</w:t>
            </w:r>
          </w:p>
        </w:tc>
        <w:tc>
          <w:tcPr>
            <w:tcW w:type="dxa" w:w="468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告知同意、個資控管、場地安全檢查</w:t>
            </w:r>
          </w:p>
        </w:tc>
        <w:tc>
          <w:tcPr>
            <w:tcW w:type="dxa" w:w="194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虛擬索引；無附件</w:t>
            </w:r>
          </w:p>
        </w:tc>
        <w:tc>
          <w:tcPr>
            <w:tcW w:type="dxa" w:w="172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SIM-E-FOLLOWUP</w:t>
            </w:r>
          </w:p>
        </w:tc>
        <w:tc>
          <w:tcPr>
            <w:tcW w:type="dxa" w:w="468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追蹤計畫、邀請及去識別回覆</w:t>
            </w:r>
          </w:p>
        </w:tc>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虛擬索引；無附件</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94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SIM-E-MATERIAL</w:t>
            </w:r>
          </w:p>
        </w:tc>
        <w:tc>
          <w:tcPr>
            <w:tcW w:type="dxa" w:w="468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核定教材、教案、版次與教學觀察</w:t>
            </w:r>
          </w:p>
        </w:tc>
        <w:tc>
          <w:tcPr>
            <w:tcW w:type="dxa" w:w="194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虛擬索引；無附件</w:t>
            </w:r>
          </w:p>
        </w:tc>
        <w:tc>
          <w:tcPr>
            <w:tcW w:type="dxa" w:w="172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r>
        <w:trPr>
          <w:cantSplit/>
        </w:trPr>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SIM-E-CLOSEOUT</w:t>
            </w:r>
          </w:p>
        </w:tc>
        <w:tc>
          <w:tcPr>
            <w:tcW w:type="dxa" w:w="468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檢討決議、改善追蹤及效果覆核</w:t>
            </w:r>
          </w:p>
        </w:tc>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虛擬索引；無附件</w:t>
            </w:r>
          </w:p>
        </w:tc>
        <w:tc>
          <w:tcPr>
            <w:tcW w:type="dxa" w:w="1728"/>
            <w:vAlign w:val="center"/>
            <w:tcMar>
              <w:top w:w="60" w:type="dxa"/>
              <w:start w:w="65" w:type="dxa"/>
              <w:bottom w:w="60" w:type="dxa"/>
              <w:end w:w="65" w:type="dxa"/>
            </w:tcMar>
          </w:tcPr>
          <w:p>
            <w:pPr>
              <w:spacing w:after="0" w:line="240" w:lineRule="auto"/>
            </w:pPr>
            <w:r/>
            <w:r>
              <w:rPr>
                <w:rFonts w:ascii="Microsoft JhengHei" w:hAnsi="Microsoft JhengHei" w:eastAsia="Microsoft JhengHei"/>
                <w:b/>
                <w:color w:val="9B2A26"/>
                <w:sz w:val="14"/>
              </w:rPr>
              <w:t>擬真示例／非協會實際資料</w:t>
            </w:r>
          </w:p>
        </w:tc>
      </w:tr>
    </w:tbl>
    <w:p>
      <w:pPr>
        <w:pStyle w:val="Heading2"/>
        <w:keepNext/>
      </w:pPr>
      <w:r>
        <w:t>非醫療、個資與外部資料界線</w:t>
      </w:r>
    </w:p>
    <w:p>
      <w:pPr>
        <w:keepLines/>
      </w:pPr>
      <w:r>
        <w:t>本案例只使用彙總假設值，未列真實姓名、病況、可識別學員資料、實際師資資格、外部機構或第三方文件。教育內容不宣稱診斷、治療或療效。取得真實資料前須依適用的告知、同意、存取、保存及銷毀規則處理；本稿不代表已完成法規或個資檢核。</w:t>
      </w:r>
    </w:p>
    <w:p>
      <w:pPr>
        <w:pStyle w:val="Heading2"/>
        <w:keepNext/>
      </w:pPr>
      <w:r>
        <w:t>跨要求資料所有權</w:t>
      </w:r>
    </w:p>
    <w:p>
      <w:pPr>
        <w:keepLines/>
      </w:pPr>
      <w:r>
        <w:t>I15-E02 僅於結案層面整理資源、財務、成果、檢討與改進。I08、I16、I17A、I17B 的需求、異常、反應及學習評量原始資料由各自文件保存；本稿不取代、複製或重算真實相鄰要求資料。REAL 交叉引用位置留白，待實際原件確認。</w:t>
      </w:r>
    </w:p>
    <w:p>
      <w:pPr>
        <w:pStyle w:val="Heading1"/>
        <w:keepNext/>
      </w:pPr>
      <w:r>
        <w:t>十一　審查、核定與 REAL 升格檢核</w:t>
      </w:r>
    </w:p>
    <w:p>
      <w:pPr>
        <w:keepLines/>
      </w:pPr>
      <w:r>
        <w:t>本文件仍為 DRAFT_SYNTHETIC。沒有審查人、核定人、簽章、正式班次、真實數據或實際附件；表內真實值、路徑和核實欄保持空白，不得將情境值複製至 REAL 欄位。</w:t>
      </w:r>
    </w:p>
    <w:tbl>
      <w:tblPr>
        <w:tblStyle w:val="TableGrid"/>
        <w:tblW w:type="auto" w:w="0"/>
        <w:jc w:val="center"/>
        <w:tblLayout w:type="fixed"/>
        <w:tblLook w:firstColumn="1" w:firstRow="1" w:lastColumn="0" w:lastRow="0" w:noHBand="0" w:noVBand="1" w:val="04A0"/>
      </w:tblPr>
      <w:tblGrid>
        <w:gridCol w:w="1944"/>
        <w:gridCol w:w="4536"/>
        <w:gridCol w:w="1440"/>
        <w:gridCol w:w="2088"/>
        <w:gridCol w:w="792"/>
      </w:tblGrid>
      <w:tr>
        <w:trPr>
          <w:tblHeader w:val="true"/>
        </w:trPr>
        <w:tc>
          <w:tcPr>
            <w:tcW w:type="dxa" w:w="1944"/>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REAL 升格欄位</w:t>
            </w:r>
          </w:p>
        </w:tc>
        <w:tc>
          <w:tcPr>
            <w:tcW w:type="dxa" w:w="4536"/>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必須取得的真實來源</w:t>
            </w:r>
          </w:p>
        </w:tc>
        <w:tc>
          <w:tcPr>
            <w:tcW w:type="dxa" w:w="1440"/>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真實值（空白）</w:t>
            </w:r>
          </w:p>
        </w:tc>
        <w:tc>
          <w:tcPr>
            <w:tcW w:type="dxa" w:w="2088"/>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路徑／頁碼（空白）</w:t>
            </w:r>
          </w:p>
        </w:tc>
        <w:tc>
          <w:tcPr>
            <w:tcW w:type="dxa" w:w="792"/>
            <w:vAlign w:val="center"/>
            <w:tcMar>
              <w:top w:w="60" w:type="dxa"/>
              <w:start w:w="65" w:type="dxa"/>
              <w:bottom w:w="60" w:type="dxa"/>
              <w:end w:w="65" w:type="dxa"/>
            </w:tcMar>
            <w:shd w:fill="1E536A"/>
            <w:tcMar>
              <w:top w:w="60" w:type="dxa"/>
              <w:start w:w="65" w:type="dxa"/>
              <w:bottom w:w="60" w:type="dxa"/>
              <w:end w:w="65" w:type="dxa"/>
            </w:tcMar>
          </w:tcPr>
          <w:p>
            <w:pPr>
              <w:spacing w:after="0" w:line="240" w:lineRule="auto"/>
              <w:jc w:val="center"/>
            </w:pPr>
            <w:r/>
            <w:r>
              <w:rPr>
                <w:rFonts w:ascii="Microsoft JhengHei" w:hAnsi="Microsoft JhengHei" w:eastAsia="Microsoft JhengHei"/>
                <w:b/>
                <w:color w:val="FFFFFF"/>
                <w:sz w:val="14"/>
              </w:rPr>
              <w:t>核實</w:t>
            </w:r>
          </w:p>
        </w:tc>
      </w:tr>
      <w:tr>
        <w:trPr>
          <w:cantSplit/>
        </w:trPr>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正式開課日期與班次</w:t>
            </w:r>
          </w:p>
        </w:tc>
        <w:tc>
          <w:tcPr>
            <w:tcW w:type="dxa" w:w="45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核定課表、班級資料、開課核准</w:t>
            </w:r>
          </w:p>
        </w:tc>
        <w:tc>
          <w:tcPr>
            <w:tcW w:type="dxa" w:w="144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208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79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w:t>
            </w:r>
          </w:p>
        </w:tc>
      </w:tr>
      <w:tr>
        <w:trPr>
          <w:cantSplit/>
        </w:trPr>
        <w:tc>
          <w:tcPr>
            <w:tcW w:type="dxa" w:w="194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師資姓名與角色</w:t>
            </w:r>
          </w:p>
        </w:tc>
        <w:tc>
          <w:tcPr>
            <w:tcW w:type="dxa" w:w="453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師資名冊、資格、派任及授課紀錄</w:t>
            </w:r>
          </w:p>
        </w:tc>
        <w:tc>
          <w:tcPr>
            <w:tcW w:type="dxa" w:w="144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208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79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w:t>
            </w:r>
          </w:p>
        </w:tc>
      </w:tr>
      <w:tr>
        <w:trPr>
          <w:cantSplit/>
        </w:trPr>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學員與出勤</w:t>
            </w:r>
          </w:p>
        </w:tc>
        <w:tc>
          <w:tcPr>
            <w:tcW w:type="dxa" w:w="45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正式名冊、簽到簽退及補登原件</w:t>
            </w:r>
          </w:p>
        </w:tc>
        <w:tc>
          <w:tcPr>
            <w:tcW w:type="dxa" w:w="144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208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79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w:t>
            </w:r>
          </w:p>
        </w:tc>
      </w:tr>
      <w:tr>
        <w:trPr>
          <w:cantSplit/>
        </w:trPr>
        <w:tc>
          <w:tcPr>
            <w:tcW w:type="dxa" w:w="194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課程內容與教材</w:t>
            </w:r>
          </w:p>
        </w:tc>
        <w:tc>
          <w:tcPr>
            <w:tcW w:type="dxa" w:w="453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核定教案、教材版次、教學觀察</w:t>
            </w:r>
          </w:p>
        </w:tc>
        <w:tc>
          <w:tcPr>
            <w:tcW w:type="dxa" w:w="144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208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79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w:t>
            </w:r>
          </w:p>
        </w:tc>
      </w:tr>
      <w:tr>
        <w:trPr>
          <w:cantSplit/>
        </w:trPr>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場地、人力與設備</w:t>
            </w:r>
          </w:p>
        </w:tc>
        <w:tc>
          <w:tcPr>
            <w:tcW w:type="dxa" w:w="45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場地／設備清冊、借用、工時、安全檢查</w:t>
            </w:r>
          </w:p>
        </w:tc>
        <w:tc>
          <w:tcPr>
            <w:tcW w:type="dxa" w:w="144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208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79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w:t>
            </w:r>
          </w:p>
        </w:tc>
      </w:tr>
      <w:tr>
        <w:trPr>
          <w:cantSplit/>
        </w:trPr>
        <w:tc>
          <w:tcPr>
            <w:tcW w:type="dxa" w:w="194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預算及實際收支</w:t>
            </w:r>
          </w:p>
        </w:tc>
        <w:tc>
          <w:tcPr>
            <w:tcW w:type="dxa" w:w="453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核定預算、總帳、傳票、憑證、付款與財務覆核</w:t>
            </w:r>
          </w:p>
        </w:tc>
        <w:tc>
          <w:tcPr>
            <w:tcW w:type="dxa" w:w="144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208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79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w:t>
            </w:r>
          </w:p>
        </w:tc>
      </w:tr>
      <w:tr>
        <w:trPr>
          <w:cantSplit/>
        </w:trPr>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評量分數與問卷</w:t>
            </w:r>
          </w:p>
        </w:tc>
        <w:tc>
          <w:tcPr>
            <w:tcW w:type="dxa" w:w="45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去識別化原始評量、量尺、樣本與統計覆核</w:t>
            </w:r>
          </w:p>
        </w:tc>
        <w:tc>
          <w:tcPr>
            <w:tcW w:type="dxa" w:w="144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208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79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w:t>
            </w:r>
          </w:p>
        </w:tc>
      </w:tr>
      <w:tr>
        <w:trPr>
          <w:cantSplit/>
        </w:trPr>
        <w:tc>
          <w:tcPr>
            <w:tcW w:type="dxa" w:w="194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異常、安全與個資</w:t>
            </w:r>
          </w:p>
        </w:tc>
        <w:tc>
          <w:tcPr>
            <w:tcW w:type="dxa" w:w="453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事件紀錄、告知同意、存取／保存及安全檢查</w:t>
            </w:r>
          </w:p>
        </w:tc>
        <w:tc>
          <w:tcPr>
            <w:tcW w:type="dxa" w:w="144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208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79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w:t>
            </w:r>
          </w:p>
        </w:tc>
      </w:tr>
      <w:tr>
        <w:trPr>
          <w:cantSplit/>
        </w:trPr>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訓後追蹤</w:t>
            </w:r>
          </w:p>
        </w:tc>
        <w:tc>
          <w:tcPr>
            <w:tcW w:type="dxa" w:w="45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追蹤計畫、同意、邀請及去識別回覆</w:t>
            </w:r>
          </w:p>
        </w:tc>
        <w:tc>
          <w:tcPr>
            <w:tcW w:type="dxa" w:w="144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208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79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w:t>
            </w:r>
          </w:p>
        </w:tc>
      </w:tr>
      <w:tr>
        <w:trPr>
          <w:cantSplit/>
        </w:trPr>
        <w:tc>
          <w:tcPr>
            <w:tcW w:type="dxa" w:w="194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改善責任與驗證</w:t>
            </w:r>
          </w:p>
        </w:tc>
        <w:tc>
          <w:tcPr>
            <w:tcW w:type="dxa" w:w="453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權責指派、核定改善方案、完成與效果證據</w:t>
            </w:r>
          </w:p>
        </w:tc>
        <w:tc>
          <w:tcPr>
            <w:tcW w:type="dxa" w:w="144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208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79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w:t>
            </w:r>
          </w:p>
        </w:tc>
      </w:tr>
      <w:tr>
        <w:trPr>
          <w:cantSplit/>
        </w:trPr>
        <w:tc>
          <w:tcPr>
            <w:tcW w:type="dxa" w:w="1944"/>
            <w:vAlign w:val="center"/>
            <w:tcMar>
              <w:top w:w="60" w:type="dxa"/>
              <w:start w:w="65" w:type="dxa"/>
              <w:bottom w:w="60" w:type="dxa"/>
              <w:end w:w="65" w:type="dxa"/>
            </w:tcMar>
          </w:tcPr>
          <w:p>
            <w:pPr>
              <w:spacing w:after="0" w:line="240" w:lineRule="auto"/>
            </w:pPr>
            <w:r/>
            <w:r>
              <w:rPr>
                <w:rFonts w:ascii="Microsoft JhengHei" w:hAnsi="Microsoft JhengHei" w:eastAsia="Microsoft JhengHei"/>
                <w:b/>
                <w:sz w:val="14"/>
              </w:rPr>
              <w:t>附件位置與頁碼</w:t>
            </w:r>
          </w:p>
        </w:tc>
        <w:tc>
          <w:tcPr>
            <w:tcW w:type="dxa" w:w="4536"/>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可開啟原件、正式檔名、版本、頁碼與保存位置</w:t>
            </w:r>
          </w:p>
        </w:tc>
        <w:tc>
          <w:tcPr>
            <w:tcW w:type="dxa" w:w="1440"/>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2088"/>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792"/>
            <w:vAlign w:val="center"/>
            <w:tcMar>
              <w:top w:w="60" w:type="dxa"/>
              <w:start w:w="65" w:type="dxa"/>
              <w:bottom w:w="60" w:type="dxa"/>
              <w:end w:w="65" w:type="dxa"/>
            </w:tcMar>
          </w:tcPr>
          <w:p>
            <w:pPr>
              <w:spacing w:after="0" w:line="240" w:lineRule="auto"/>
            </w:pPr>
            <w:r/>
            <w:r>
              <w:rPr>
                <w:rFonts w:ascii="Microsoft JhengHei" w:hAnsi="Microsoft JhengHei" w:eastAsia="Microsoft JhengHei"/>
                <w:b w:val="0"/>
                <w:sz w:val="14"/>
              </w:rPr>
              <w:t>□</w:t>
            </w:r>
          </w:p>
        </w:tc>
      </w:tr>
      <w:tr>
        <w:trPr>
          <w:cantSplit/>
        </w:trPr>
        <w:tc>
          <w:tcPr>
            <w:tcW w:type="dxa" w:w="1944"/>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sz w:val="14"/>
              </w:rPr>
              <w:t>審查／核定／簽章</w:t>
            </w:r>
          </w:p>
        </w:tc>
        <w:tc>
          <w:tcPr>
            <w:tcW w:type="dxa" w:w="4536"/>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正式審查紀錄、權責核定及簽署原件</w:t>
            </w:r>
          </w:p>
        </w:tc>
        <w:tc>
          <w:tcPr>
            <w:tcW w:type="dxa" w:w="1440"/>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2088"/>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r>
          </w:p>
        </w:tc>
        <w:tc>
          <w:tcPr>
            <w:tcW w:type="dxa" w:w="792"/>
            <w:vAlign w:val="center"/>
            <w:tcMar>
              <w:top w:w="60" w:type="dxa"/>
              <w:start w:w="65" w:type="dxa"/>
              <w:bottom w:w="60" w:type="dxa"/>
              <w:end w:w="65" w:type="dxa"/>
            </w:tcMar>
            <w:shd w:fill="F1F6F8"/>
            <w:tcMar>
              <w:top w:w="60" w:type="dxa"/>
              <w:start w:w="65" w:type="dxa"/>
              <w:bottom w:w="60" w:type="dxa"/>
              <w:end w:w="65" w:type="dxa"/>
            </w:tcMar>
          </w:tcPr>
          <w:p>
            <w:pPr>
              <w:spacing w:after="0" w:line="240" w:lineRule="auto"/>
            </w:pPr>
            <w:r/>
            <w:r>
              <w:rPr>
                <w:rFonts w:ascii="Microsoft JhengHei" w:hAnsi="Microsoft JhengHei" w:eastAsia="Microsoft JhengHei"/>
                <w:b w:val="0"/>
                <w:sz w:val="14"/>
              </w:rPr>
              <w:t>□</w:t>
            </w:r>
          </w:p>
        </w:tc>
      </w:tr>
    </w:tbl>
    <w:p>
      <w:pPr>
        <w:keepLines/>
      </w:pPr>
      <w:r>
        <w:t>取得原件後，授權人員需重算出席率、及格率及預算差異率，逐項檢查結案內容與證據，再完成審查。本建置不作品質 PASS、CURRENT、凍結、核定或生產放行判定。</w:t>
      </w:r>
    </w:p>
    <w:p>
      <w:pPr>
        <w:pStyle w:val="Heading1"/>
        <w:keepNext/>
      </w:pPr>
      <w:r>
        <w:t>來源與限制</w:t>
      </w:r>
    </w:p>
    <w:p>
      <w:pPr>
        <w:keepLines/>
      </w:pPr>
      <w:r>
        <w:t>要求文字與 Blueprint 欄位取自有效要求清冊 I15-E02 列；序列、Canary、重建身分取自指定序列、Canary 清冊與 QE003 重建列；官方勾選佐證依官方評核表 PDF 第 5 頁核對。QPR4-v3 與 R4 regression checklist v2 作為有效建置指令。未讀取歷史草案或任何 R1／R2／QE002／其他 QE003 候選正文；未使用可選 Google Drive 歷史 Word，未向 Drive 寫入、分享或上傳。</w:t>
      </w:r>
    </w:p>
    <w:p>
      <w:pPr>
        <w:keepLines/>
      </w:pPr>
      <w:r>
        <w:t>隨附替換登錄表列出本稿情境資料、索引、角色與提案。REAL 替代值、真實路徑、升格狀態及人工核實欄均為空白。</w:t>
      </w:r>
    </w:p>
    <w:sectPr w:rsidR="00FC693F" w:rsidRPr="0006063C" w:rsidSect="00034616">
      <w:headerReference w:type="default" r:id="rId9"/>
      <w:footerReference w:type="default" r:id="rId10"/>
      <w:pgSz w:w="11909" w:h="16834"/>
      <w:pgMar w:top="864" w:right="864" w:bottom="864"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color w:val="9B2A26"/>
        <w:sz w:val="14"/>
      </w:rPr>
      <w:t>DRAFT_SYNTHETIC · 擬真示例／非協會實際資料 · 不得作為實際開班、核銷、審查或核定證明</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color w:val="9B2A26"/>
        <w:sz w:val="14"/>
      </w:rPr>
      <w:t>0066 · I15-E02 · QP003/QE003  |  擬真示例／非協會實際資料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Microsoft JhengHei" w:hAnsi="Microsoft JhengHei" w:eastAsia="Microsoft JhengHei"/>
      <w:color w:val="2830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Microsoft JhengHei" w:hAnsi="Microsoft JhengHei" w:eastAsia="Microsoft JhengHei"/>
      <w:b/>
      <w:bCs/>
      <w:color w:val="1A43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27627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18212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JhengHei" w:hAnsi="Microsoft JhengHei" w:eastAsia="Microsoft JhengHei"/>
      <w:b/>
      <w:i/>
      <w:iCs/>
      <w:color w:val="9B2A2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JhengHei" w:hAnsi="Microsoft JhengHei" w:eastAsia="Microsoft JhengHei"/>
      <w:b/>
      <w:bCs/>
      <w:i/>
      <w:color w:val="4F81BD" w:themeColor="accent1"/>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訓練班級完整結案報告</dc:title>
  <dc:subject>I15-E02 DRAFT_SYNTHETIC QE003</dc:subject>
  <dc:creator/>
  <cp:keywords/>
  <dc:description/>
  <cp:lastModifiedBy/>
  <cp:revision>1</cp:revision>
  <dcterms:created xsi:type="dcterms:W3CDTF">2013-12-23T23:15:00Z</dcterms:created>
  <dcterms:modified xsi:type="dcterms:W3CDTF">2013-12-23T23:15:00Z</dcterms:modified>
  <cp:category/>
</cp:coreProperties>
</file>