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Microsoft JhengHei" w:hAnsi="Microsoft JhengHei" w:eastAsia="Microsoft JhengHei"/>
          <w:b/>
          <w:color w:val="174A6E"/>
          <w:sz w:val="40"/>
        </w:rPr>
        <w:t>中長程業務發展策略地圖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/>
          <w:color w:val="35718B"/>
          <w:sz w:val="20"/>
        </w:rPr>
        <w:t>I01-E01｜中長程業務發展策略地圖｜人類決策草案</w:t>
      </w:r>
    </w:p>
    <w:p>
      <w:pPr>
        <w:keepLines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修訂識別：</w:t>
      </w:r>
      <w:r>
        <w:rPr>
          <w:rFonts w:ascii="Microsoft JhengHei" w:hAnsi="Microsoft JhengHei" w:eastAsia="Microsoft JhengHei"/>
          <w:color w:val="28343F"/>
          <w:sz w:val="18"/>
        </w:rPr>
        <w:t>0001-I01-E01-QP003-QE003-B006</w:t>
      </w:r>
    </w:p>
    <w:p>
      <w:pPr>
        <w:keepLines/>
        <w:spacing w:after="6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文件識別／狀態：</w:t>
      </w:r>
      <w:r>
        <w:rPr>
          <w:rFonts w:ascii="Microsoft JhengHei" w:hAnsi="Microsoft JhengHei" w:eastAsia="Microsoft JhengHei"/>
          <w:color w:val="28343F"/>
          <w:sz w:val="18"/>
        </w:rPr>
        <w:t>sequence 0001｜requirement I01-E01｜HUMAN_DECISION_DRAFT｜核定日期：待填</w:t>
      </w:r>
    </w:p>
    <w:p>
      <w:pPr>
        <w:keepLines/>
        <w:spacing w:after="8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本稿提出待審議的策略選項、計算口徑與證據欄位，不代表協會已核定、已執行或已取得任何成果。協會名稱及核心方向依已提供資料；市場、課程、資源、人員、日期、數字、核准及外部證據均須以原始資料核實後補入。</w:t>
      </w:r>
    </w:p>
    <w:p>
      <w:pPr>
        <w:pStyle w:val="Heading1"/>
        <w:keepNext/>
        <w:keepLines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現況與外部環境</w:t>
      </w:r>
    </w:p>
    <w:p>
      <w:pPr>
        <w:keepLines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可核實的策略起點：社團法人屏東縣原始點關懷協會；核心方向為健康教育及傳統整復推拿技術，並保留依實際市場需求發展多元課程的空間。此定位不代表特定課程已開辦或已獲核准。</w:t>
      </w:r>
    </w:p>
    <w:p>
      <w:pPr>
        <w:keepLines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目前可用來源未提供市場母體、實際需求調查、職能分析、競合資料、課程執行紀錄或成果數據，因此市場規模、需求順位、目標客群及課程可行性仍待核實；無資料不等於有需求或沒有需求。</w:t>
      </w:r>
    </w:p>
    <w:p>
      <w:pPr>
        <w:keepLines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待補基線：</w:t>
      </w:r>
      <w:r>
        <w:rPr>
          <w:rFonts w:ascii="Microsoft JhengHei" w:hAnsi="Microsoft JhengHei" w:eastAsia="Microsoft JhengHei"/>
          <w:color w:val="28343F"/>
          <w:sz w:val="18"/>
        </w:rPr>
        <w:t>市場／地域範圍、需求來源與期間、調查方法及樣本、需求分析、可用資源、權責決定人與日期。</w:t>
      </w:r>
    </w:p>
    <w:p>
      <w:pPr>
        <w:pStyle w:val="Heading1"/>
        <w:keepNext/>
        <w:keepLines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I01-E01官方要求的直接回應與適用情境</w:t>
      </w:r>
    </w:p>
    <w:p>
      <w:pPr>
        <w:keepLines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官方查核佐證文件資料表指標1列有「訓練機構未來經營方向及目標之訂定」及「中長程的業務發展規劃策略地圖」，並列目標市場需求調查、業務發展計畫、課程產品及流程檢討分析、年度績效目標分析等參考佐證。【TTQS查核佐證文件資料表－訓練機構版，PDF p.1】</w:t>
      </w:r>
    </w:p>
    <w:p>
      <w:pPr>
        <w:keepLines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官方評核表要求說明訓練機構未來經營方向及營運計畫、機構定位與目標客戶；年度發展計畫須依目標市場需求分析訂定。【TTQS人才發展品質管理系統評核表－訓練機構版，PDF p.1】官方標準手冊所收錄之對應佐證資料表位於 PDF p.116（印刷頁碼 p.110）。</w:t>
      </w:r>
    </w:p>
    <w:p>
      <w:pPr>
        <w:keepLines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本稿把方向、客群假設、課程選項、可計算KPI、責任與檢討欄位連成策略地圖，供中長程方向及年度發展規劃審議；在市場原始資料、真實數據及權責核定補齊前，本稿僅為決策草案，不證明實際營運或成效。</w:t>
      </w:r>
    </w:p>
    <w:p>
      <w:pPr>
        <w:pStyle w:val="Heading1"/>
        <w:keepNext/>
        <w:keepLines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使命/定位/目標市場</w:t>
      </w:r>
    </w:p>
    <w:p>
      <w:pPr>
        <w:keepLines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使命／核心方向：</w:t>
      </w:r>
      <w:r>
        <w:rPr>
          <w:rFonts w:ascii="Microsoft JhengHei" w:hAnsi="Microsoft JhengHei" w:eastAsia="Microsoft JhengHei"/>
          <w:color w:val="28343F"/>
          <w:sz w:val="18"/>
        </w:rPr>
        <w:t>以健康教育及傳統整復推拿技術為核心；課程多元化須以實際市場需求、可用資源、適用規範及品質條件共同判斷。</w:t>
      </w:r>
    </w:p>
    <w:p>
      <w:pPr>
        <w:keepLines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定位草案：</w:t>
      </w:r>
      <w:r>
        <w:rPr>
          <w:rFonts w:ascii="Microsoft JhengHei" w:hAnsi="Microsoft JhengHei" w:eastAsia="Microsoft JhengHei"/>
          <w:color w:val="28343F"/>
          <w:sz w:val="18"/>
        </w:rPr>
        <w:t>先確認可服務的學習需求，再形成與核心方向一致且可由資源及品質條件支持的課程提案；不把未查證的需求或資格寫成現況。</w:t>
      </w:r>
    </w:p>
    <w:p>
      <w:pPr>
        <w:keepLines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待驗證客群假設：</w:t>
      </w:r>
      <w:r>
        <w:rPr>
          <w:rFonts w:ascii="Microsoft JhengHei" w:hAnsi="Microsoft JhengHei" w:eastAsia="Microsoft JhengHei"/>
          <w:color w:val="28343F"/>
          <w:sz w:val="18"/>
        </w:rPr>
        <w:t>健康教育相關學習需求者；傳統整復推拿技術相關學習需求者。兩者僅作市場調查分層假設，不表示已有客戶、招生、課程或市場需求結論。</w:t>
      </w:r>
    </w:p>
    <w:p>
      <w:pPr>
        <w:keepLines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客群選擇依據：</w:t>
      </w:r>
      <w:r>
        <w:rPr>
          <w:rFonts w:ascii="Microsoft JhengHei" w:hAnsi="Microsoft JhengHei" w:eastAsia="Microsoft JhengHei"/>
          <w:color w:val="28343F"/>
          <w:sz w:val="18"/>
        </w:rPr>
        <w:t>以可追溯的市場來源、需求問題、調查方法與分析結果比較，再由權責者決定優先客群、服務範圍及是否提出課程。</w:t>
      </w:r>
    </w:p>
    <w:p>
      <w:pPr>
        <w:pStyle w:val="Heading1"/>
        <w:keepNext/>
        <w:keepLines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三年策略主軸</w:t>
      </w:r>
    </w:p>
    <w:p>
      <w:pPr>
        <w:keepLines w:val="0"/>
        <w:spacing w:after="4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以下為相對年度的待審議路線圖；起始日、年度目標及是否開辦課程均待核定。策略矩陣標題、欄位與資料列同置，供逐列審議。</w:t>
      </w:r>
    </w:p>
    <w:p>
      <w:pPr>
        <w:pStyle w:val="Heading2"/>
        <w:keepNext/>
        <w:keepLines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策略主軸—目標客群—課程產品—KPI—責任—時程矩陣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1771"/>
        <w:gridCol w:w="2117"/>
        <w:gridCol w:w="1296"/>
        <w:gridCol w:w="1555"/>
        <w:gridCol w:w="2016"/>
      </w:tblGrid>
      <w:tr>
        <w:trPr>
          <w:cantSplit/>
          <w:tblHeader w:val="true"/>
        </w:trPr>
        <w:tc>
          <w:tcPr>
            <w:tcW w:type="dxa" w:w="1469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策略主軸</w:t>
            </w:r>
          </w:p>
        </w:tc>
        <w:tc>
          <w:tcPr>
            <w:tcW w:type="dxa" w:w="1771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目標客群</w:t>
            </w:r>
          </w:p>
        </w:tc>
        <w:tc>
          <w:tcPr>
            <w:tcW w:type="dxa" w:w="2117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課程產品</w:t>
            </w:r>
          </w:p>
        </w:tc>
        <w:tc>
          <w:tcPr>
            <w:tcW w:type="dxa" w:w="1296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KPI</w:t>
            </w:r>
          </w:p>
        </w:tc>
        <w:tc>
          <w:tcPr>
            <w:tcW w:type="dxa" w:w="1555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</w:t>
            </w:r>
          </w:p>
        </w:tc>
        <w:tc>
          <w:tcPr>
            <w:tcW w:type="dxa" w:w="2016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時程</w:t>
            </w:r>
          </w:p>
        </w:tc>
      </w:tr>
      <w:tr>
        <w:trPr>
          <w:cantSplit/>
        </w:trPr>
        <w:tc>
          <w:tcPr>
            <w:tcW w:type="dxa" w:w="1469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市場需求與客群驗證</w:t>
            </w:r>
          </w:p>
        </w:tc>
        <w:tc>
          <w:tcPr>
            <w:tcW w:type="dxa" w:w="1771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健康教育及傳統整復推拿技術相關學習需求者（調查假設）</w:t>
            </w:r>
          </w:p>
        </w:tc>
        <w:tc>
          <w:tcPr>
            <w:tcW w:type="dxa" w:w="2117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蒐集需求證據後形成課程概念；不代表現有課程</w:t>
            </w:r>
          </w:p>
        </w:tc>
        <w:tc>
          <w:tcPr>
            <w:tcW w:type="dxa" w:w="1296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需求證據可追溯率</w:t>
            </w:r>
          </w:p>
        </w:tc>
        <w:tc>
          <w:tcPr>
            <w:tcW w:type="dxa" w:w="1555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調查／分析權責角色待核定</w:t>
            </w:r>
          </w:p>
        </w:tc>
        <w:tc>
          <w:tcPr>
            <w:tcW w:type="dxa" w:w="2016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第1年建立基線與客群決策；第2–3年依核定資料更新方向；起始日待定</w:t>
            </w:r>
          </w:p>
        </w:tc>
      </w:tr>
      <w:tr>
        <w:trPr>
          <w:cantSplit/>
        </w:trPr>
        <w:tc>
          <w:tcPr>
            <w:tcW w:type="dxa" w:w="1469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核心課程能力組合</w:t>
            </w:r>
          </w:p>
        </w:tc>
        <w:tc>
          <w:tcPr>
            <w:tcW w:type="dxa" w:w="1771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依市場證據確認的客群（待填）</w:t>
            </w:r>
          </w:p>
        </w:tc>
        <w:tc>
          <w:tcPr>
            <w:tcW w:type="dxa" w:w="2117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兩個核心方向的課程提案；內容、資格及班次待核實</w:t>
            </w:r>
          </w:p>
        </w:tc>
        <w:tc>
          <w:tcPr>
            <w:tcW w:type="dxa" w:w="1296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課程需求追溯率</w:t>
            </w:r>
          </w:p>
        </w:tc>
        <w:tc>
          <w:tcPr>
            <w:tcW w:type="dxa" w:w="1555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課程規劃／品質覆核角色待核定</w:t>
            </w:r>
          </w:p>
        </w:tc>
        <w:tc>
          <w:tcPr>
            <w:tcW w:type="dxa" w:w="2016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第1年盤點需求與資源；第2年僅於核准及條件符合後評估試行；第3年檢視組合</w:t>
            </w:r>
          </w:p>
        </w:tc>
      </w:tr>
      <w:tr>
        <w:trPr>
          <w:cantSplit/>
        </w:trPr>
        <w:tc>
          <w:tcPr>
            <w:tcW w:type="dxa" w:w="1469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年度營運與品質調整</w:t>
            </w:r>
          </w:p>
        </w:tc>
        <w:tc>
          <w:tcPr>
            <w:tcW w:type="dxa" w:w="1771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由調查及權責決策確認的客群</w:t>
            </w:r>
          </w:p>
        </w:tc>
        <w:tc>
          <w:tcPr>
            <w:tcW w:type="dxa" w:w="2117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按年度需求證據選擇、修訂或暫緩課程；不預設辦訓或成果</w:t>
            </w:r>
          </w:p>
        </w:tc>
        <w:tc>
          <w:tcPr>
            <w:tcW w:type="dxa" w:w="1296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年度KPI達成率；年度成長率</w:t>
            </w:r>
          </w:p>
        </w:tc>
        <w:tc>
          <w:tcPr>
            <w:tcW w:type="dxa" w:w="1555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權責／核定角色待填</w:t>
            </w:r>
          </w:p>
        </w:tc>
        <w:tc>
          <w:tcPr>
            <w:tcW w:type="dxa" w:w="2016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建議按季檢視、按年修訂；頻率及觸發門檻待核定</w:t>
            </w:r>
          </w:p>
        </w:tc>
      </w:tr>
    </w:tbl>
    <w:p>
      <w:pPr>
        <w:pStyle w:val="Heading1"/>
        <w:keepNext/>
        <w:keepLines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策略因果鏈</w:t>
      </w:r>
    </w:p>
    <w:p>
      <w:pPr>
        <w:keepLines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可編輯四步策略地圖：</w:t>
      </w:r>
      <w:r>
        <w:rPr>
          <w:rFonts w:ascii="Microsoft JhengHei" w:hAnsi="Microsoft JhengHei" w:eastAsia="Microsoft JhengHei"/>
          <w:color w:val="28343F"/>
          <w:sz w:val="18"/>
        </w:rPr>
        <w:t>使命（健康教育及傳統整復推拿技術） → 市場價值（以可查核需求釐清學習問題） → 課程能力（依需求、資源、適用規範與品質條件形成方案） → 營運／公益成果（以真實年度數據及原始證據判讀，未核實前不主張成果）。</w:t>
      </w:r>
    </w:p>
    <w:p>
      <w:pPr>
        <w:keepLines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因果檢核：若無需求證據，暫不定義客群或目標；若無可核實的課程／資源條件，不把課程提案寫成服務現況；若無實際結果與原始證據，不宣稱營運或公益成果。四步文字鏈可直接在 Word 中編輯。</w:t>
      </w:r>
    </w:p>
    <w:p>
      <w:pPr>
        <w:pStyle w:val="Heading1"/>
        <w:keepNext/>
        <w:keepLines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年度目標與KPI</w:t>
      </w:r>
    </w:p>
    <w:p>
      <w:pPr>
        <w:keepLines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年度目標先由市場基線、資源盤點及權責者審議；未有核定基線、目標及原始資料時，實績與計算結果留白，不以假設值代入。</w:t>
      </w:r>
    </w:p>
    <w:p>
      <w:pPr>
        <w:keepLines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計算口徑一：</w:t>
      </w:r>
      <w:r>
        <w:rPr>
          <w:rFonts w:ascii="Microsoft JhengHei" w:hAnsi="Microsoft JhengHei" w:eastAsia="Microsoft JhengHei"/>
          <w:color w:val="28343F"/>
          <w:sz w:val="18"/>
        </w:rPr>
        <w:t>年度KPI達成率 = 實績 / 目標。分子與分母須為同一口徑；目標未核定、缺值或為零時記「無法計算」，不得填造百分比。</w:t>
      </w:r>
    </w:p>
    <w:p>
      <w:pPr>
        <w:keepLines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計算口徑二：</w:t>
      </w:r>
      <w:r>
        <w:rPr>
          <w:rFonts w:ascii="Microsoft JhengHei" w:hAnsi="Microsoft JhengHei" w:eastAsia="Microsoft JhengHei"/>
          <w:color w:val="28343F"/>
          <w:sz w:val="18"/>
        </w:rPr>
        <w:t>年度成長率 = (本年 - 前一年) / 前一年。須採同一指標定義與期間；前一年缺值或為零時記「無法計算」，不得填造增幅。</w:t>
      </w:r>
    </w:p>
    <w:p>
      <w:pPr>
        <w:pStyle w:val="Heading2"/>
        <w:keepNext/>
        <w:keepLines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基準值/目標值/資料來源/檢討頻率表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1"/>
        <w:gridCol w:w="1181"/>
        <w:gridCol w:w="1195"/>
        <w:gridCol w:w="2362"/>
        <w:gridCol w:w="1699"/>
        <w:gridCol w:w="1526"/>
      </w:tblGrid>
      <w:tr>
        <w:trPr>
          <w:cantSplit/>
          <w:tblHeader w:val="true"/>
        </w:trPr>
        <w:tc>
          <w:tcPr>
            <w:tcW w:type="dxa" w:w="2261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指標／計算口徑</w:t>
            </w:r>
          </w:p>
        </w:tc>
        <w:tc>
          <w:tcPr>
            <w:tcW w:type="dxa" w:w="1181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基準值</w:t>
            </w:r>
          </w:p>
        </w:tc>
        <w:tc>
          <w:tcPr>
            <w:tcW w:type="dxa" w:w="1195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目標值</w:t>
            </w:r>
          </w:p>
        </w:tc>
        <w:tc>
          <w:tcPr>
            <w:tcW w:type="dxa" w:w="2362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1699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檢討頻率</w:t>
            </w:r>
          </w:p>
        </w:tc>
        <w:tc>
          <w:tcPr>
            <w:tcW w:type="dxa" w:w="1526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實績／結果</w:t>
            </w:r>
          </w:p>
        </w:tc>
      </w:tr>
      <w:tr>
        <w:trPr>
          <w:cantSplit/>
        </w:trPr>
        <w:tc>
          <w:tcPr>
            <w:tcW w:type="dxa" w:w="2261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需求證據可追溯率：有來源及分析紀錄的目標群組數／核定調查群組數</w:t>
            </w:r>
          </w:p>
        </w:tc>
        <w:tc>
          <w:tcPr>
            <w:tcW w:type="dxa" w:w="1181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待調查與核定</w:t>
            </w:r>
          </w:p>
        </w:tc>
        <w:tc>
          <w:tcPr>
            <w:tcW w:type="dxa" w:w="1195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  <w:tc>
          <w:tcPr>
            <w:tcW w:type="dxa" w:w="2362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市場調查原始紀錄、方法、範圍與分析底稿（待建立）</w:t>
            </w:r>
          </w:p>
        </w:tc>
        <w:tc>
          <w:tcPr>
            <w:tcW w:type="dxa" w:w="1699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建議每季；待核定</w:t>
            </w:r>
          </w:p>
        </w:tc>
        <w:tc>
          <w:tcPr>
            <w:tcW w:type="dxa" w:w="1526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待實際數據；分母為零或未核定則不計</w:t>
            </w:r>
          </w:p>
        </w:tc>
      </w:tr>
      <w:tr>
        <w:trPr>
          <w:cantSplit/>
        </w:trPr>
        <w:tc>
          <w:tcPr>
            <w:tcW w:type="dxa" w:w="2261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課程需求追溯率：有可查核需求來源的課程提案數／課程提案總數</w:t>
            </w:r>
          </w:p>
        </w:tc>
        <w:tc>
          <w:tcPr>
            <w:tcW w:type="dxa" w:w="1181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待提案與核定</w:t>
            </w:r>
          </w:p>
        </w:tc>
        <w:tc>
          <w:tcPr>
            <w:tcW w:type="dxa" w:w="1195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  <w:tc>
          <w:tcPr>
            <w:tcW w:type="dxa" w:w="2362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課程提案及其需求證據對照（待建立）</w:t>
            </w:r>
          </w:p>
        </w:tc>
        <w:tc>
          <w:tcPr>
            <w:tcW w:type="dxa" w:w="1699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建議每季；待核定</w:t>
            </w:r>
          </w:p>
        </w:tc>
        <w:tc>
          <w:tcPr>
            <w:tcW w:type="dxa" w:w="1526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待實際數據；未有提案或來源則不計</w:t>
            </w:r>
          </w:p>
        </w:tc>
      </w:tr>
      <w:tr>
        <w:trPr>
          <w:cantSplit/>
        </w:trPr>
        <w:tc>
          <w:tcPr>
            <w:tcW w:type="dxa" w:w="2261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年度KPI達成率：實績／目標</w:t>
            </w:r>
          </w:p>
        </w:tc>
        <w:tc>
          <w:tcPr>
            <w:tcW w:type="dxa" w:w="1181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待前期真實資料</w:t>
            </w:r>
          </w:p>
        </w:tc>
        <w:tc>
          <w:tcPr>
            <w:tcW w:type="dxa" w:w="1195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  <w:tc>
          <w:tcPr>
            <w:tcW w:type="dxa" w:w="2362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核定目標、實績原始紀錄及計算底稿（待補）</w:t>
            </w:r>
          </w:p>
        </w:tc>
        <w:tc>
          <w:tcPr>
            <w:tcW w:type="dxa" w:w="1699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建議季度追蹤、年度結算；待核定</w:t>
            </w:r>
          </w:p>
        </w:tc>
        <w:tc>
          <w:tcPr>
            <w:tcW w:type="dxa" w:w="1526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依核定公式計算；本稿不填實績</w:t>
            </w:r>
          </w:p>
        </w:tc>
      </w:tr>
      <w:tr>
        <w:trPr>
          <w:cantSplit/>
        </w:trPr>
        <w:tc>
          <w:tcPr>
            <w:tcW w:type="dxa" w:w="2261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年度成長率：(本年－前一年)／前一年</w:t>
            </w:r>
          </w:p>
        </w:tc>
        <w:tc>
          <w:tcPr>
            <w:tcW w:type="dxa" w:w="1181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待前一年同口徑資料</w:t>
            </w:r>
          </w:p>
        </w:tc>
        <w:tc>
          <w:tcPr>
            <w:tcW w:type="dxa" w:w="1195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  <w:tc>
          <w:tcPr>
            <w:tcW w:type="dxa" w:w="2362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本年與前一年同口徑原始資料及計算底稿（待補）</w:t>
            </w:r>
          </w:p>
        </w:tc>
        <w:tc>
          <w:tcPr>
            <w:tcW w:type="dxa" w:w="1699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建議年度比較；待核定</w:t>
            </w:r>
          </w:p>
        </w:tc>
        <w:tc>
          <w:tcPr>
            <w:tcW w:type="dxa" w:w="1526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前一年為零或缺值時不計；本稿不填結果</w:t>
            </w:r>
          </w:p>
        </w:tc>
      </w:tr>
    </w:tbl>
    <w:p>
      <w:pPr>
        <w:pStyle w:val="Heading1"/>
        <w:keepNext/>
        <w:keepLines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資源與責任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決策及核定：權責單位、決策人姓名／職務、核定日期與核定紀錄位置均待確認；不預填真人、職稱或簽章。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市場資料：調查範圍、方法、樣本、執行時間與分析責任待核定；原始資料及分析底稿待提供。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課程規劃：課程主題、內容、師資、資格、場地、設備及品質條件待核實；未核實前不列入實際課程清單。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資源盤點：可投入人力／工時、預算、行政支援、教材與設備均待盤點；不估造金額或可用容量。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KPI資料責任：資料產生者、覆核者、保存位置與更新頻率待指派；每筆結果須能回到原始紀錄。</w:t>
      </w:r>
    </w:p>
    <w:p>
      <w:pPr>
        <w:pStyle w:val="Heading1"/>
        <w:keepNext/>
        <w:keepLines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風險與假設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需求風險：市場範圍及需求尚無實測資料，客群或課程方向可能失準；先完成可追溯調查，再決定目標。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能力／資源風險：實際師資、資格、課程、場地、預算與行政量能均未核實；條件未確認前不承諾開課。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規範與品質風險：適用規範及品質條件需由權責者查核；不得以本稿推定資格、核准或合規狀態。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衡量風險：基線、目標或分母未定時，比例與成長率不可計算；缺值不得轉成零或成果。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假設邊界：本稿的客群分類、三個主軸、相對年度階段、KPI定義與檢討頻率皆為待審議提案，不是協會已採行的政策、事實或績效。</w:t>
      </w:r>
    </w:p>
    <w:p>
      <w:pPr>
        <w:pStyle w:val="Heading1"/>
        <w:keepNext/>
        <w:keepLines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季度/年度檢討與修訂</w:t>
      </w:r>
    </w:p>
    <w:p>
      <w:pPr>
        <w:keepLines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建議流程：收集來源資料 → 以核定口徑計算 → 標示偏離或缺證 → 由權責者決定維持、調整、暫緩或補查 → 更新策略版本與責任 → 於下一次檢討核對措施結果。此流程及頻率均待核定。</w:t>
      </w:r>
    </w:p>
    <w:p>
      <w:pPr>
        <w:keepLines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季度檢討建議檢查資料完整度、需求變化、資源條件及核定KPI；年度檢討再比較基準值、目標值、實績及成長率，確認下一年度方向。若任一已核定KPI未達目標或原始證據不足，於該次檢討列入調整議題；觸發門檻、權責角色與期限由人類決策填定，不由本稿推定。</w:t>
      </w:r>
    </w:p>
    <w:p>
      <w:pPr>
        <w:keepLines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修訂控制：記錄修訂原因、採用資料、決策內容、責任角色、期限、覆核結果及新版本識別；日期、核定與簽章欄位待真實授權後填寫。</w:t>
      </w:r>
    </w:p>
    <w:p>
      <w:pPr>
        <w:pStyle w:val="Heading2"/>
        <w:keepNext/>
        <w:keepLines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五項待人類決策問題</w:t>
      </w:r>
    </w:p>
    <w:p>
      <w:pPr>
        <w:keepLines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1. 目標客群是誰且為何？</w:t>
      </w:r>
    </w:p>
    <w:p>
      <w:pPr>
        <w:keepLines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待填／待決：以哪一組市場證據與需求分析確認客群，並由誰核定。</w:t>
      </w:r>
    </w:p>
    <w:p>
      <w:pPr>
        <w:keepLines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2. 哪些課程主軸支撐經營方向？</w:t>
      </w:r>
    </w:p>
    <w:p>
      <w:pPr>
        <w:keepLines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待填／待決：在核心方向下，哪些提案通過需求、資源、適用規範與品質檢核。</w:t>
      </w:r>
    </w:p>
    <w:p>
      <w:pPr>
        <w:keepLines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3. 每一策略如何量化？</w:t>
      </w:r>
    </w:p>
    <w:p>
      <w:pPr>
        <w:keepLines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待填／待決：核定指標定義、基線、目標、資料源、資料責任與檢討頻率。</w:t>
      </w:r>
    </w:p>
    <w:p>
      <w:pPr>
        <w:keepLines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4. 若KPI偏離，何時啟動調整？</w:t>
      </w:r>
    </w:p>
    <w:p>
      <w:pPr>
        <w:keepLines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待填／待決：核定觸發條件、檢討權責、決策期限及後續驗證方式。</w:t>
      </w:r>
    </w:p>
    <w:p>
      <w:pPr>
        <w:keepLines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5. 本文件中哪一段/哪一表直接證明：「中長程的業務發展規劃策略地圖。」？</w:t>
      </w:r>
    </w:p>
    <w:p>
      <w:pPr>
        <w:keepLines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待填／待決：本稿第2節、策略主軸矩陣及第10節追溯表對應官方要求；官方定位見佐證文件資料表 PDF p.1、評核表 PDF p.1、標準手冊 PDF p.116（印刷頁碼 p.110）。本稿仍不證明協會實際執行或成果。</w:t>
      </w:r>
    </w:p>
    <w:p>
      <w:pPr>
        <w:pStyle w:val="Heading1"/>
        <w:keepNext/>
        <w:keepLines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證據索引與核定</w:t>
      </w:r>
    </w:p>
    <w:p>
      <w:pPr>
        <w:pStyle w:val="Heading2"/>
        <w:keepNext/>
        <w:keepLines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I01-E01專屬「要求—資料來源—欄位/指標—結果—證據位置—覆核」追溯表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43"/>
        <w:gridCol w:w="1858"/>
        <w:gridCol w:w="1987"/>
        <w:gridCol w:w="1728"/>
        <w:gridCol w:w="936"/>
      </w:tblGrid>
      <w:tr>
        <w:trPr>
          <w:cantSplit/>
          <w:tblHeader w:val="true"/>
        </w:trPr>
        <w:tc>
          <w:tcPr>
            <w:tcW w:type="dxa" w:w="1872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843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1858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欄位/指標</w:t>
            </w:r>
          </w:p>
        </w:tc>
        <w:tc>
          <w:tcPr>
            <w:tcW w:type="dxa" w:w="1987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</w:t>
            </w:r>
          </w:p>
        </w:tc>
        <w:tc>
          <w:tcPr>
            <w:tcW w:type="dxa" w:w="1728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936"/>
            <w:vAlign w:val="center"/>
            <w:shd w:fill="174A6E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中長程業務發展策略地圖；經營方向、定位與目標客戶</w:t>
            </w:r>
          </w:p>
        </w:tc>
        <w:tc>
          <w:tcPr>
            <w:tcW w:type="dxa" w:w="1843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</w:t>
            </w:r>
          </w:p>
        </w:tc>
        <w:tc>
          <w:tcPr>
            <w:tcW w:type="dxa" w:w="1858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使命／定位、客群、策略主軸與KPI</w:t>
            </w:r>
          </w:p>
        </w:tc>
        <w:tc>
          <w:tcPr>
            <w:tcW w:type="dxa" w:w="1987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本稿已列待審架構；客群、核定及實況未證</w:t>
            </w:r>
          </w:p>
        </w:tc>
        <w:tc>
          <w:tcPr>
            <w:tcW w:type="dxa" w:w="1728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本稿第1–6節；策略矩陣</w:t>
            </w:r>
          </w:p>
        </w:tc>
        <w:tc>
          <w:tcPr>
            <w:tcW w:type="dxa" w:w="936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權責者待核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年度發展計畫連結目標市場需求</w:t>
            </w:r>
          </w:p>
        </w:tc>
        <w:tc>
          <w:tcPr>
            <w:tcW w:type="dxa" w:w="1843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評核表，PDF p.1；標準手冊，PDF p.116／印刷 p.110</w:t>
            </w:r>
          </w:p>
        </w:tc>
        <w:tc>
          <w:tcPr>
            <w:tcW w:type="dxa" w:w="1858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需求來源、年度目標、基準／目標／實績</w:t>
            </w:r>
          </w:p>
        </w:tc>
        <w:tc>
          <w:tcPr>
            <w:tcW w:type="dxa" w:w="1987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待市場原始資料與人類核定；不主張已達成</w:t>
            </w:r>
          </w:p>
        </w:tc>
        <w:tc>
          <w:tcPr>
            <w:tcW w:type="dxa" w:w="1728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本稿第1、6、9節；KPI表</w:t>
            </w:r>
          </w:p>
        </w:tc>
        <w:tc>
          <w:tcPr>
            <w:tcW w:type="dxa" w:w="936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來源及計算待覆核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目標市場需求調查</w:t>
            </w:r>
          </w:p>
        </w:tc>
        <w:tc>
          <w:tcPr>
            <w:tcW w:type="dxa" w:w="1843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</w:t>
            </w:r>
          </w:p>
        </w:tc>
        <w:tc>
          <w:tcPr>
            <w:tcW w:type="dxa" w:w="1858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範圍、方法、樣本、日期、分析與來源</w:t>
            </w:r>
          </w:p>
        </w:tc>
        <w:tc>
          <w:tcPr>
            <w:tcW w:type="dxa" w:w="1987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原始調查未提供；待補與驗證</w:t>
            </w:r>
          </w:p>
        </w:tc>
        <w:tc>
          <w:tcPr>
            <w:tcW w:type="dxa" w:w="1728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本稿第1節；KPI表</w:t>
            </w:r>
          </w:p>
        </w:tc>
        <w:tc>
          <w:tcPr>
            <w:tcW w:type="dxa" w:w="936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調查責任待指派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課程產品／流程檢討及年度發展計畫</w:t>
            </w:r>
          </w:p>
        </w:tc>
        <w:tc>
          <w:tcPr>
            <w:tcW w:type="dxa" w:w="1843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</w:t>
            </w:r>
          </w:p>
        </w:tc>
        <w:tc>
          <w:tcPr>
            <w:tcW w:type="dxa" w:w="1858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課程提案、需求連結、資源／品質檢核</w:t>
            </w:r>
          </w:p>
        </w:tc>
        <w:tc>
          <w:tcPr>
            <w:tcW w:type="dxa" w:w="1987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本稿列提案路徑；無已開課或成效證明</w:t>
            </w:r>
          </w:p>
        </w:tc>
        <w:tc>
          <w:tcPr>
            <w:tcW w:type="dxa" w:w="1728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本稿第4、7、8、9節；策略矩陣</w:t>
            </w:r>
          </w:p>
        </w:tc>
        <w:tc>
          <w:tcPr>
            <w:tcW w:type="dxa" w:w="936"/>
            <w:vAlign w:val="top"/>
            <w:shd w:fill="F2F6F8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課程與規範待覆核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年度績效目標及目標分析</w:t>
            </w:r>
          </w:p>
        </w:tc>
        <w:tc>
          <w:tcPr>
            <w:tcW w:type="dxa" w:w="1843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p.1；評核表，PDF p.1</w:t>
            </w:r>
          </w:p>
        </w:tc>
        <w:tc>
          <w:tcPr>
            <w:tcW w:type="dxa" w:w="1858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基線、目標、實績、達成率、成長率</w:t>
            </w:r>
          </w:p>
        </w:tc>
        <w:tc>
          <w:tcPr>
            <w:tcW w:type="dxa" w:w="1987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未有核定數值與原始結果；本稿未填數值</w:t>
            </w:r>
          </w:p>
        </w:tc>
        <w:tc>
          <w:tcPr>
            <w:tcW w:type="dxa" w:w="1728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本稿第6節；KPI表</w:t>
            </w:r>
          </w:p>
        </w:tc>
        <w:tc>
          <w:tcPr>
            <w:tcW w:type="dxa" w:w="936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資料、公式及結果待覆核</w:t>
            </w:r>
          </w:p>
        </w:tc>
      </w:tr>
    </w:tbl>
    <w:p>
      <w:pPr>
        <w:keepLines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官方文件的引用只證明本稿採用的評核要求與定位，不是協會實際活動、核准、資格、成果或第三方證明。現階段未登錄外部合作、第三方文件、簽章或已收受之證據。</w:t>
      </w:r>
    </w:p>
    <w:p>
      <w:pPr>
        <w:keepLines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核定權責單位／人員：</w:t>
      </w:r>
      <w:r>
        <w:rPr>
          <w:rFonts w:ascii="Microsoft JhengHei" w:hAnsi="Microsoft JhengHei" w:eastAsia="Microsoft JhengHei"/>
          <w:color w:val="28343F"/>
          <w:sz w:val="18"/>
        </w:rPr>
        <w:t>待確認；姓名與職務待真實資料。</w:t>
      </w:r>
    </w:p>
    <w:p>
      <w:pPr>
        <w:keepLines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審議結論／核准／簽章：</w:t>
      </w:r>
      <w:r>
        <w:rPr>
          <w:rFonts w:ascii="Microsoft JhengHei" w:hAnsi="Microsoft JhengHei" w:eastAsia="Microsoft JhengHei"/>
          <w:color w:val="28343F"/>
          <w:sz w:val="18"/>
        </w:rPr>
        <w:t>待權責者決定；本稿不代填。</w:t>
      </w:r>
    </w:p>
    <w:p>
      <w:pPr>
        <w:keepLines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核定／生效日期：</w:t>
      </w:r>
      <w:r>
        <w:rPr>
          <w:rFonts w:ascii="Microsoft JhengHei" w:hAnsi="Microsoft JhengHei" w:eastAsia="Microsoft JhengHei"/>
          <w:color w:val="28343F"/>
          <w:sz w:val="18"/>
        </w:rPr>
        <w:t>待正式核定後填寫。</w:t>
      </w:r>
    </w:p>
    <w:p>
      <w:pPr>
        <w:keepLines/>
        <w:spacing w:after="6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會議或核定紀錄、附件與精確位置：</w:t>
      </w:r>
      <w:r>
        <w:rPr>
          <w:rFonts w:ascii="Microsoft JhengHei" w:hAnsi="Microsoft JhengHei" w:eastAsia="Microsoft JhengHei"/>
          <w:color w:val="28343F"/>
          <w:sz w:val="18"/>
        </w:rPr>
        <w:t>待提供原始紀錄與可查核檔案路徑。</w:t>
      </w:r>
    </w:p>
    <w:p>
      <w:pPr>
        <w:pStyle w:val="Heading1"/>
        <w:keepNext/>
        <w:keepLines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I01-E01真實升格檢核與替換清單</w:t>
      </w:r>
    </w:p>
    <w:p>
      <w:pPr>
        <w:keepLines w:val="0"/>
        <w:spacing w:after="4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只有在以下待核欄位由原始資料支持、經權責者覆核並完成核定後，才可依治理流程評估升格；不得把提案、假設或空白欄位直接改標為REAL。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以正式核定策略及決策紀錄替換方向／主軸草案；附核定人、日期、決議與精確檔案位置。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以實際市場母體、調查期間、方法、樣本、需求分析及來源替換客群假設；逐項說明證據與限制。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由權責者確認目標客群、服務範圍及課程主軸；核實實際課程名稱、內容、班次及適用資格。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核實師資／人員、場地、設備、預算、行政資源及適用規範；未核實者保持待補，不承諾開辦。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以同口徑原始資料補入基準值、目標值、實績、比例與成長率；檢查分母、期間、來源及覆核紀錄。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指派真實資料產生者、責任角色及覆核者；填入正式日期、姓名／職務、核准／簽章與修訂紀錄。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逐筆連結真實附件及精確保存位置；不得用官方要求代替協會活動或結果證據。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確認沒有未登錄假設、虛構合作、第三方原件、簽章、核准、學員、課程、成果或財務事實。</w:t>
      </w:r>
    </w:p>
    <w:p>
      <w:pPr>
        <w:pStyle w:val="ListBullet"/>
        <w:keepLines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完成真實資料的來源、口徑、決策及證據定位覆核後，再更新文件修訂識別與狀態。</w:t>
      </w:r>
    </w:p>
    <w:p>
      <w:pPr>
        <w:keepLines w:val="0"/>
        <w:spacing w:after="4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真實升格前固定待填欄位：正式日期；真實人名／角色；核准／簽章；真實班次／課程；實際數字／比例；真實附件及檔案位置。協會現行核定策略、實際市場資料、年度基準／目標／資源／責任及可驗證執行結果亦待原始資料與權責決定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835" w:left="792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06778"/>
        <w:sz w:val="15"/>
      </w:rPr>
      <w:t>修訂識別：0001-I01-E01-QP003-QE003-B006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color w:val="506778"/>
        <w:sz w:val="15"/>
      </w:rPr>
      <w:t>I01-E01｜HUMAN_DECISION_DRAFT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4A6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4A6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中長程業務發展策略地圖</dc:title>
  <dc:subject>I01-E01 | 0001-I01-E01-QP003-QE003-B006 | HUMAN_DECISION_DRAFT</dc:subject>
  <dc:creator>python-docx</dc:creator>
  <cp:keywords>TTQS; I01-E01; QP003; QE003; source-only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