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異常通報暨 CAPA 矯正預防紀錄</w:t>
      </w:r>
    </w:p>
    <w:p>
      <w:r>
        <w:rPr>
          <w:b/>
          <w:sz w:val="24"/>
        </w:rPr>
        <w:t>指標 16｜I16-E02｜文件 02</w:t>
      </w:r>
    </w:p>
    <w:p>
      <w:r>
        <w:t>官方要求：「訓練異常處理方法、 紀錄與工具。」</w:t>
      </w:r>
    </w:p>
    <w:p>
      <w:r>
        <w:rPr>
          <w:b/>
        </w:rPr>
        <w:t>文件狀態：DRAFT_SYNTHETIC｜工作稿 0.2｜本件為可編輯紀錄範本，不是協會事件、核定程序或實際成效。</w:t>
      </w:r>
    </w:p>
    <w:p>
      <w:r>
        <w:t>用途：記錄單一異常從發現、風險、圍堵、根因、矯正與預防到效果驗證的閉環。程序規則由 I16-E02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DRAFT_SYNTHETIC；真實異常與核准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未提供事件原件；本稿情境與數值均為 SYNTHETIC EXAMPLE</w:t>
            </w:r>
          </w:p>
        </w:tc>
      </w:tr>
    </w:tbl>
    <w:p/>
    <w:p>
      <w:pPr>
        <w:pStyle w:val="Heading1"/>
      </w:pPr>
      <w:r>
        <w:t>使用界線</w:t>
      </w:r>
    </w:p>
    <w:p>
      <w:r>
        <w:t>以下以教材版本不一致的假設情境示範欄位與算法，不代表協會已開班、發生異常、執行CAPA或完成效果驗證。未取得的班次、責任人、簽章、原始紀錄及核定一律維持 WAITING_FOR_ORIGINAL；不得把示例列為實績。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</w:pPr>
      <w:r>
        <w:t>1. 事件識別與直接回應</w:t>
      </w:r>
    </w:p>
    <w:p>
      <w:r>
        <w:t>I16-E02要求的直接證據是具體異常紀錄及可用工具。本件以事件識別欄、風險與圍堵紀錄、八欄CAPA表、效果計算、追溯表及空白填寫區回應；所有示例結果皆清楚標示為合成資料。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SYNTHETIC EXAMPLE｜不是協會紀錄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SYN-CAPA-0071-02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WAITING_FOR_ORIGINAL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2026-06-04 10:20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課前發行檢核發現安全說明卡 v1.3 與受控母檔 v1.4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假設尚未發給參與者；隔離舊卡2份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示例結案；協會真實結案 WAITING_FOR_ORIGINAL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</w:pPr>
      <w:r>
        <w:t>2. 影響與風險判定</w:t>
      </w:r>
    </w:p>
    <w:p>
      <w:r>
        <w:t>示例影響：若舊版安全說明卡被發出，可能造成課前注意事項不一致。情境假設在發放前攔截，未涉及真人或實際課程；這是示範設定，不是零事故實績。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第2級／中度（示例分級，非協會核定尺度）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示例假設0人收到；舊卡2份在發放前隔離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2026-06-04 10:20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2026-06-04 10:35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隔離2份 v1.3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v1.4；經覆核後才可重新發行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</w:pPr>
      <w:r>
        <w:t>4. 事實時間線與根因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2026-06-04 10:20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發現安全說明卡版本不一致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2026-06-04 10:35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2026-06-08 16:00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示例措施完成並進入效果監測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2026-07-08 16:00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30日效果檢視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與示例結案時間相隔30個完整日／720小時；非實際驗證</w:t>
            </w:r>
          </w:p>
        </w:tc>
      </w:tr>
    </w:tbl>
    <w:p/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/>
    <w:p>
      <w:pPr>
        <w:sectPr>
          <w:footerReference w:type="default" r:id="rId9"/>
          <w:pgSz w:w="11909" w:h="16834"/>
          <w:pgMar w:top="936" w:right="1008" w:bottom="936" w:left="1008" w:header="403" w:footer="403" w:gutter="0"/>
          <w:cols w:space="720"/>
          <w:docGrid w:linePitch="360"/>
        </w:sectPr>
      </w:pPr>
    </w:p>
    <w:p>
      <w:pPr>
        <w:pStyle w:val="Heading1"/>
      </w:pPr>
      <w:r>
        <w:t>5. 事件—嚴重度—根因—矯正—預防—責任—期限—驗證表</w:t>
      </w:r>
    </w:p>
    <w:p>
      <w:r>
        <w:t>下表為I16-E02專屬核心紀錄；八項欄位同列於一張可編輯表格。下列唯一資料列是合成示例，不是協會現況。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嚴重度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根因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矯正措施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預防措施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責任角色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完成期限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效果驗證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課前安全說明卡版本不一致；舊版2份待發。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第2級／中度；示例分級。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2026-06-09 17:00；示例期限。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示例於06-08 16:00結案；至07-08 16:00監測30日／720小時。3次版次檢核均無差異；再發0件。</w:t>
            </w:r>
          </w:p>
        </w:tc>
      </w:tr>
    </w:tbl>
    <w:p/>
    <w:p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pgSz w:w="16834" w:h="11909" w:orient="landscape"/>
          <w:pgMar w:top="749" w:right="691" w:bottom="749" w:left="691" w:header="403" w:footer="403" w:gutter="0"/>
          <w:cols w:space="720"/>
          <w:docGrid w:linePitch="360"/>
        </w:sectPr>
      </w:pPr>
    </w:p>
    <w:p>
      <w:pPr>
        <w:pStyle w:val="Heading1"/>
      </w:pPr>
      <w:r>
        <w:t>6.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教材管理角色；2026-06-09前（示例）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WAITING_FOR_ORIGINAL</w:t>
            </w:r>
          </w:p>
        </w:tc>
      </w:tr>
    </w:tbl>
    <w:p/>
    <w:p>
      <w:pPr>
        <w:pStyle w:val="Heading1"/>
      </w:pPr>
      <w:r>
        <w:t>7. 效果驗證與計算口徑</w:t>
      </w:r>
    </w:p>
    <w:p>
      <w:r>
        <w:t>示例期限內結案率＝期限內結案案件 ÷ 本期到期案件 × 100%＝1 ÷ 1 × 100%＝100%。示例再發率＝監測期內重複事件 ÷ 已結案事件 × 100%＝0 ÷ 1 × 100%＝0%。分母、個案範圍及監測期間必須一致；分母為0時記「不適用」，不得填0%。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期限內結案1件／到期1件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100%（SYNTHETIC）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到期案件清冊、完成日期、覆核紀錄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重複事件0件／已結案1件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0%（SYNTHETIC）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事件分類、結案台帳及30日後續紀錄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3次發布檢核，0次版次不一致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0/3（SYNTHETIC）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WAITING_FOR_ORIGINAL</w:t>
            </w:r>
          </w:p>
        </w:tc>
      </w:tr>
    </w:tbl>
    <w:p/>
    <w:p>
      <w:r>
        <w:t>以上只示範算法，不是協會品質數據。正式彙整應依核定的事件分類、計算期間、到期案件定義及效果窗口執行；週期與責任尚待協會核定。</w:t>
      </w:r>
    </w:p>
    <w:p>
      <w:pPr>
        <w:pStyle w:val="Heading1"/>
      </w:pPr>
      <w:r>
        <w:t>8. 結案與趨勢檢視</w:t>
      </w:r>
    </w:p>
    <w:p>
      <w:r>
        <w:t>示例結案條件：圍堵範圍已確認、舊版已停用、受控版本經覆核、預防控制已建立，且30日監測未見重複。這些條件僅供工具示範；本文件未獲協會核准，也沒有任何真人核定或簽章。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</w:pPr>
      <w:r>
        <w:t>9. I16-E02要求追溯表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WAITING_FOR_ORIGINAL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第1–8節及空白紀錄欄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第5、7、8節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核定CAPA、30日檢核與簽核原件 WAITING_FOR_ORIGINAL</w:t>
            </w:r>
          </w:p>
        </w:tc>
      </w:tr>
    </w:tbl>
    <w:p/>
    <w:p>
      <w:pPr>
        <w:pStyle w:val="Heading1"/>
      </w:pPr>
      <w:r>
        <w:t>10.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事件編號、班次、發現者角色、日期時間、原始紀錄位置：WAITING_FOR_ORIGINAL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審查者、核定者、日期、簽章／正式紀錄：WAITING_FOR_ORIGINAL</w:t>
            </w:r>
          </w:p>
        </w:tc>
      </w:tr>
    </w:tbl>
    <w:p/>
    <w:p>
      <w:pPr>
        <w:pStyle w:val="Heading1"/>
      </w:pPr>
      <w:r>
        <w:t>11. 真實升格檢核與替換清單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根因與CAPA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pPr>
        <w:pStyle w:val="Heading1"/>
      </w:pPr>
      <w:r>
        <w:t>12.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示例為2026-06-04 10:20課前版本檢核；真實時間 WAITING_FOR_ORIGINAL。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示例監測30日／720小時，3次版次檢核未見差異；不代表實際有效。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第5、7、8節；換入預防控制及原始檢查結果。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第7–9節；取得真實文件並重算。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哪一段直接證明I16-E02？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第5節同一張八欄CAPA表連結事件至驗證；第9節映射官方要求；第10節提供空白工具。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</w:pPr>
      <w:r>
        <w:t>閉環示意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CAPA措施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3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pgSz w:w="11909" w:h="16834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DRAFT_SYNTHETIC｜WAITING_FOR_ORIGINAL｜I16-E02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異常通報暨 CAPA 矯正預防紀錄</dc:title>
  <dc:subject>I16-E02 synthetic editable working draft R02</dc:subject>
  <dc:creator>社團法人屏東縣原始點關懷協會（範本欄位；非實際核定）</dc:creator>
  <cp:keywords>I16-E02; DRAFT_SYNTHETIC; WAITING_FOR_ORIGINAL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