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284B63"/>
          <w:sz w:val="36"/>
        </w:rPr>
        <w:t>訓練評估與實施標準化作業程序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8"/>
        </w:rPr>
        <w:t>I04-E04｜從需求登錄、計畫放行到結果覆核的可追溯程序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448"/>
        <w:gridCol w:w="7560"/>
      </w:tblGrid>
      <w:tr>
        <w:trPr>
          <w:tblHeader w:val="true"/>
          <w:cantSplit/>
          <w:cantSplit/>
        </w:trPr>
        <w:tc>
          <w:tcPr>
            <w:tcW w:type="dxa" w:w="244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文件識別</w:t>
            </w:r>
          </w:p>
        </w:tc>
        <w:tc>
          <w:tcPr>
            <w:tcW w:type="dxa" w:w="756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狀態／適用界線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0025｜I04-E04｜R08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DRAFT_SYNTHETIC；待協會審議、核定及授權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協會定位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健康教育及傳統整復推拿技術；其他課程按查證需求逐案設計</w:t>
            </w:r>
          </w:p>
        </w:tc>
      </w:tr>
      <w:tr>
        <w:trPr>
          <w:cantSplit/>
          <w:cantSplit/>
        </w:trPr>
        <w:tc>
          <w:tcPr>
            <w:tcW w:type="dxa" w:w="244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現況與原始資料</w:t>
            </w:r>
          </w:p>
        </w:tc>
        <w:tc>
          <w:tcPr>
            <w:tcW w:type="dxa" w:w="75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未由本稿推定；核定、課程、人員、執行、數值及證明均 WAITING_FOR_ORIGINAL</w:t>
            </w:r>
          </w:p>
        </w:tc>
      </w:tr>
    </w:tbl>
    <w:p>
      <w:pPr>
        <w:pStyle w:val="Heading1"/>
      </w:pPr>
      <w:r>
        <w:t>1 目的、適用範圍與使用限制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本程序建立訓練需求、課程計畫、放行判斷、實施紀錄、結果計算、異常升級及文件保管的共同控制方式。正式使用時須依本會有效權責、規章及原始紀錄核定。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本文件僅為可編輯工作稿，不證明協會已有制度、班次、核准、成效或第三方往來。不得將未取得的姓名、日期、數值、簽章、決議或檔案位置補成事實。</w:t>
      </w:r>
    </w:p>
    <w:p>
      <w:pPr>
        <w:pStyle w:val="Heading1"/>
      </w:pPr>
      <w:r>
        <w:t>2 官方要求直接回應與流程圖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官方方框：「訓練結果的評估、訓練實施的依據及標準化作業流程（SOP）。」第4節提供八欄標準流程及放行控制；第5節定義成效評估與兩項計算；第6節規範異常升級；第7節列出I04-E04專屬六欄要求追溯表。</w:t>
      </w:r>
    </w:p>
    <w:p>
      <w:pPr>
        <w:pStyle w:val="Heading2"/>
      </w:pPr>
      <w:r>
        <w:t>圖1｜立案至結案之決策流程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469"/>
        <w:gridCol w:w="1584"/>
        <w:gridCol w:w="1987"/>
        <w:gridCol w:w="2002"/>
        <w:gridCol w:w="1469"/>
        <w:gridCol w:w="1498"/>
      </w:tblGrid>
      <w:tr>
        <w:trPr>
          <w:tblHeader w:val="true"/>
          <w:cantSplit/>
          <w:cantSplit/>
        </w:trPr>
        <w:tc>
          <w:tcPr>
            <w:tcW w:type="dxa" w:w="146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登錄需求</w:t>
            </w:r>
          </w:p>
        </w:tc>
        <w:tc>
          <w:tcPr>
            <w:tcW w:type="dxa" w:w="158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設計及自檢</w:t>
            </w:r>
          </w:p>
        </w:tc>
        <w:tc>
          <w:tcPr>
            <w:tcW w:type="dxa" w:w="1987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覆核計畫與風險</w:t>
            </w:r>
          </w:p>
        </w:tc>
        <w:tc>
          <w:tcPr>
            <w:tcW w:type="dxa" w:w="200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◇ 資料／授權齊備？</w:t>
            </w:r>
          </w:p>
        </w:tc>
        <w:tc>
          <w:tcPr>
            <w:tcW w:type="dxa" w:w="146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依核准版實施</w:t>
            </w:r>
          </w:p>
        </w:tc>
        <w:tc>
          <w:tcPr>
            <w:tcW w:type="dxa" w:w="149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評估並結案</w:t>
            </w:r>
          </w:p>
        </w:tc>
      </w:tr>
      <w:tr>
        <w:trPr>
          <w:cantSplit/>
          <w:cantSplit/>
        </w:trPr>
        <w:tc>
          <w:tcPr>
            <w:tcW w:type="dxa" w:w="14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來源可定位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目標、方法、資源</w:t>
            </w:r>
          </w:p>
        </w:tc>
        <w:tc>
          <w:tcPr>
            <w:tcW w:type="dxa" w:w="198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工具、權責、安全</w:t>
            </w:r>
          </w:p>
        </w:tc>
        <w:tc>
          <w:tcPr>
            <w:tcW w:type="dxa" w:w="200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否→退補／暫停；是→放行</w:t>
            </w:r>
          </w:p>
        </w:tc>
        <w:tc>
          <w:tcPr>
            <w:tcW w:type="dxa" w:w="146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記原始資料與偏差</w:t>
            </w:r>
          </w:p>
        </w:tc>
        <w:tc>
          <w:tcPr>
            <w:tcW w:type="dxa" w:w="149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覆算、改善、存檔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流程判斷應附可驗的來源與決定權依據。授權、適用範圍、工具或安全條件未完成核實時，不得進入正式實施。</w:t>
      </w:r>
    </w:p>
    <w:p>
      <w:r>
        <w:br w:type="page"/>
      </w:r>
    </w:p>
    <w:p>
      <w:pPr>
        <w:pStyle w:val="Heading1"/>
      </w:pPr>
      <w:r>
        <w:t>3 權責、RACI、輸入及啟動條件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以下功能角色是表單設計用語，不代表已聘任或授權的本會人員；須以章程、有效決議及實際職務資料確認。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160"/>
        <w:gridCol w:w="4824"/>
        <w:gridCol w:w="3024"/>
      </w:tblGrid>
      <w:tr>
        <w:trPr>
          <w:tblHeader w:val="true"/>
          <w:cantSplit/>
          <w:cantSplit/>
        </w:trPr>
        <w:tc>
          <w:tcPr>
            <w:tcW w:type="dxa" w:w="216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功能角色</w:t>
            </w:r>
          </w:p>
        </w:tc>
        <w:tc>
          <w:tcPr>
            <w:tcW w:type="dxa" w:w="482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工作與判斷</w:t>
            </w:r>
          </w:p>
        </w:tc>
        <w:tc>
          <w:tcPr>
            <w:tcW w:type="dxa" w:w="302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需求提出者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說明對象、需求、依據及限制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來源原件索引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案件承辦者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收件、追蹤補件、版控與結案歸檔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案件台帳／通知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課程設計者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連結需求、目標、方法、資源及安全安排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方案／工具草案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獨立覆核者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查映射、計算口徑、資料風險及差異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覆核表／更正軌跡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授權決定者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核准、退回、暫停及適用條件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授權／核准原件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實施與資料保管者</w:t>
            </w:r>
          </w:p>
        </w:tc>
        <w:tc>
          <w:tcPr>
            <w:tcW w:type="dxa" w:w="48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按有效版本執行並保存原始證據</w:t>
            </w:r>
          </w:p>
        </w:tc>
        <w:tc>
          <w:tcPr>
            <w:tcW w:type="dxa" w:w="302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執行表／附件索引</w:t>
            </w:r>
          </w:p>
        </w:tc>
      </w:tr>
    </w:tbl>
    <w:p>
      <w:pPr>
        <w:pStyle w:val="Heading2"/>
      </w:pPr>
      <w:r>
        <w:t>3.1 RACI 草案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016"/>
        <w:gridCol w:w="1800"/>
        <w:gridCol w:w="2232"/>
        <w:gridCol w:w="1944"/>
        <w:gridCol w:w="2016"/>
      </w:tblGrid>
      <w:tr>
        <w:trPr>
          <w:tblHeader w:val="true"/>
          <w:cantSplit/>
          <w:cantSplit/>
        </w:trPr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工作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R 執行</w:t>
            </w:r>
          </w:p>
        </w:tc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決定</w:t>
            </w:r>
          </w:p>
        </w:tc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諮詢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I 知會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需求登錄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提出者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計畫與評量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正式放行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設計者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實施者</w:t>
            </w:r>
          </w:p>
        </w:tc>
      </w:tr>
      <w:tr>
        <w:trPr>
          <w:cantSplit/>
          <w:cantSplit/>
        </w:trPr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結果與異常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評估者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待授權角色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覆核者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承辦者</w:t>
            </w:r>
          </w:p>
        </w:tc>
      </w:tr>
    </w:tbl>
    <w:p>
      <w:pPr>
        <w:pStyle w:val="Heading2"/>
      </w:pPr>
      <w:r>
        <w:t>3.2 輸入清單與停止條件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立案須有可追溯需求與對象；設計須具目標、教材版本、師資與場地條件、資源、安全評估及計畫；評估須有工具版本、題項映射、樣本口徑、判準、原始資料保存及覆核者。缺少必要原件、授權、適用條件或資料保護安排時，退回補件或暫停，記錄待辦責任與核定期限。</w:t>
      </w:r>
    </w:p>
    <w:p>
      <w:r>
        <w:br w:type="page"/>
      </w:r>
    </w:p>
    <w:p>
      <w:pPr>
        <w:pStyle w:val="Heading1"/>
      </w:pPr>
      <w:r>
        <w:t>4 標準作業流程八欄表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表列順序、角色、輸入、動作、判斷、控制、輸出及紀錄彼此分欄。每一判斷均須留下理由；未達控制條件即退回、暫停或升級。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619"/>
        <w:gridCol w:w="893"/>
        <w:gridCol w:w="1080"/>
        <w:gridCol w:w="1440"/>
        <w:gridCol w:w="1051"/>
        <w:gridCol w:w="1584"/>
        <w:gridCol w:w="1123"/>
        <w:gridCol w:w="2218"/>
      </w:tblGrid>
      <w:tr>
        <w:trPr>
          <w:tblHeader w:val="true"/>
          <w:cantSplit/>
          <w:cantSplit/>
        </w:trPr>
        <w:tc>
          <w:tcPr>
            <w:tcW w:type="dxa" w:w="61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步驟</w:t>
            </w:r>
          </w:p>
        </w:tc>
        <w:tc>
          <w:tcPr>
            <w:tcW w:type="dxa" w:w="893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角色</w:t>
            </w:r>
          </w:p>
        </w:tc>
        <w:tc>
          <w:tcPr>
            <w:tcW w:type="dxa" w:w="108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輸入</w:t>
            </w:r>
          </w:p>
        </w:tc>
        <w:tc>
          <w:tcPr>
            <w:tcW w:type="dxa" w:w="144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動作</w:t>
            </w:r>
          </w:p>
        </w:tc>
        <w:tc>
          <w:tcPr>
            <w:tcW w:type="dxa" w:w="1051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判斷</w:t>
            </w:r>
          </w:p>
        </w:tc>
        <w:tc>
          <w:tcPr>
            <w:tcW w:type="dxa" w:w="158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控制點</w:t>
            </w:r>
          </w:p>
        </w:tc>
        <w:tc>
          <w:tcPr>
            <w:tcW w:type="dxa" w:w="1123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輸出</w:t>
            </w:r>
          </w:p>
        </w:tc>
        <w:tc>
          <w:tcPr>
            <w:tcW w:type="dxa" w:w="221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需求確認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需求原件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編案、核來源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範圍可查？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無來源不立案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立案／退補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來源表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方案設計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已確認需求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定目標、方法、資源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目標可評？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逐目標映射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方案草案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版本／矩陣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設計覆核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方案與工具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查風險、工具及樣本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資料完整？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差異未結不放行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通過／退回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覆核紀錄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核定放行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覆核結論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定範圍與生效版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核准原件有效？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未核定即停止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有效版／暫停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核准與公告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訓練實施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實施者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有效核准版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依版執行、記偏差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安全或版次異常？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即時控制並升級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原始紀錄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執行表／附件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評估覆核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評估者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工具及原始資料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依核定公式計算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資料可重算？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明列缺值分母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結果草表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計算／覆核表</w:t>
            </w:r>
          </w:p>
        </w:tc>
      </w:tr>
      <w:tr>
        <w:trPr>
          <w:cantSplit/>
          <w:cantSplit/>
        </w:trPr>
        <w:tc>
          <w:tcPr>
            <w:tcW w:type="dxa" w:w="61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改善結案</w:t>
            </w:r>
          </w:p>
        </w:tc>
        <w:tc>
          <w:tcPr>
            <w:tcW w:type="dxa" w:w="89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承辦／覆核</w:t>
            </w:r>
          </w:p>
        </w:tc>
        <w:tc>
          <w:tcPr>
            <w:tcW w:type="dxa" w:w="108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結果與異常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驗證改善、定位證據</w:t>
            </w:r>
          </w:p>
        </w:tc>
        <w:tc>
          <w:tcPr>
            <w:tcW w:type="dxa" w:w="105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條件均已驗證？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未驗證不得結案</w:t>
            </w:r>
          </w:p>
        </w:tc>
        <w:tc>
          <w:tcPr>
            <w:tcW w:type="dxa" w:w="112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結案／續追</w:t>
            </w:r>
          </w:p>
        </w:tc>
        <w:tc>
          <w:tcPr>
            <w:tcW w:type="dxa" w:w="221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驗證及索引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不得續行的情況：需求或來源不可查、必要權限／核准未到、課程版本或工具失效、安全與隱私問題未控制、原始資料位置不明，或改善結果未被驗證。輸出材料依正式文件代碼、案件識別及受控路徑索引。</w:t>
      </w:r>
    </w:p>
    <w:p>
      <w:r>
        <w:br w:type="page"/>
      </w:r>
    </w:p>
    <w:p>
      <w:pPr>
        <w:pStyle w:val="Heading1"/>
      </w:pPr>
      <w:r>
        <w:t>5 結果評估、指定指標與覆算欄位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在實施前核定評量方法、工具版本、樣本條件、判準、時點、缺值處理與資料用途。知識理解、操作觀察、學習回饋或訓後應用僅為待選方法；須逐案核准，不得將回饋推論成醫療效果或訓練因果。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944"/>
        <w:gridCol w:w="3096"/>
        <w:gridCol w:w="4968"/>
      </w:tblGrid>
      <w:tr>
        <w:trPr>
          <w:tblHeader w:val="true"/>
          <w:cantSplit/>
          <w:cantSplit/>
        </w:trPr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必備指標</w:t>
            </w:r>
          </w:p>
        </w:tc>
        <w:tc>
          <w:tcPr>
            <w:tcW w:type="dxa" w:w="309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計算口徑</w:t>
            </w:r>
          </w:p>
        </w:tc>
        <w:tc>
          <w:tcPr>
            <w:tcW w:type="dxa" w:w="496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原始依據與限制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流程準時率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期限內完成件數 ÷ 總件數</w:t>
            </w:r>
          </w:p>
        </w:tc>
        <w:tc>
          <w:tcPr>
            <w:tcW w:type="dxa" w:w="49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案件母體、核定期限、完成時間、排除原因；同期間同口徑。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異常結案率</w:t>
            </w:r>
          </w:p>
        </w:tc>
        <w:tc>
          <w:tcPr>
            <w:tcW w:type="dxa" w:w="309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已驗證結案件數 ÷ 異常件數</w:t>
            </w:r>
          </w:p>
        </w:tc>
        <w:tc>
          <w:tcPr>
            <w:tcW w:type="dxa" w:w="496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異常清冊、處置證據及驗證結果；未驗證不得計結案。</w:t>
            </w:r>
          </w:p>
        </w:tc>
      </w:tr>
    </w:tbl>
    <w:p>
      <w:pPr>
        <w:pStyle w:val="Heading2"/>
      </w:pPr>
      <w:r>
        <w:t>5.1 逐案計算及資料品質欄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808"/>
        <w:gridCol w:w="7200"/>
      </w:tblGrid>
      <w:tr>
        <w:trPr>
          <w:tblHeader w:val="true"/>
          <w:cantSplit/>
          <w:cantSplit/>
        </w:trPr>
        <w:tc>
          <w:tcPr>
            <w:tcW w:type="dxa" w:w="2808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72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定義／留痕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案件、期間及工具版次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填真實案號、適用區間及核定工具；未核定保持 WAITING_FOR_ORIGINAL。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母體、納入、排除及缺值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列明數量與客觀原因；不得補造、略去或改寫原始紀錄。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分子、分母及結果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照核准口徑記錄；分母為零時記不適用，不計比例。</w:t>
            </w:r>
          </w:p>
        </w:tc>
      </w:tr>
      <w:tr>
        <w:trPr>
          <w:cantSplit/>
          <w:cantSplit/>
        </w:trPr>
        <w:tc>
          <w:tcPr>
            <w:tcW w:type="dxa" w:w="280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計算、獨立覆核與限制</w:t>
            </w:r>
          </w:p>
        </w:tc>
        <w:tc>
          <w:tcPr>
            <w:tcW w:type="dxa" w:w="72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5"/>
              </w:rPr>
              <w:t>記職務、日期、覆算、差異更正、證據位置及判讀限制。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核定門檻須在觀察結果前確定。缺少有效工具、目標或足夠證據時，不宣稱達標；保留無法判定原因及待辦。</w:t>
      </w:r>
    </w:p>
    <w:p>
      <w:r>
        <w:br w:type="page"/>
      </w:r>
    </w:p>
    <w:p>
      <w:pPr>
        <w:pStyle w:val="Heading1"/>
      </w:pPr>
      <w:r>
        <w:t>6 異常處理、時限及升級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依核實權責先控制風險再升級。時限欄須由本會授權角色依規章和事件風險核定；本模板不虛構協會承諾期限。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800"/>
        <w:gridCol w:w="1944"/>
        <w:gridCol w:w="2232"/>
        <w:gridCol w:w="2016"/>
        <w:gridCol w:w="2016"/>
      </w:tblGrid>
      <w:tr>
        <w:trPr>
          <w:tblHeader w:val="true"/>
          <w:cantSplit/>
          <w:cantSplit/>
        </w:trPr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異常情境</w:t>
            </w:r>
          </w:p>
        </w:tc>
        <w:tc>
          <w:tcPr>
            <w:tcW w:type="dxa" w:w="1944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立即處置</w:t>
            </w:r>
          </w:p>
        </w:tc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升級／決定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時限</w:t>
            </w:r>
          </w:p>
        </w:tc>
        <w:tc>
          <w:tcPr>
            <w:tcW w:type="dxa" w:w="201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關閉證據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需求來源不明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暫停立案、列缺件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需求權責角色確認來源範圍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期限由授權者填；逾期升級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原件、補件及決定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核准或版次失效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停止放行與使用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授權角色決定補核或撤回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發現即控制；後續期限核定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失效版、有效核准與通知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安全／隱私疑慮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停止相關活動並保護資料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依有效規章交權責角色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即時控制；通報期限依規定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事件事實、處置及覆核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工具錯誤／結果矛盾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暫不下結論、保全資料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設計者查因；覆核者核口徑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重算期限由授權者定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工具版、差異、重算與覆核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改善未驗證／逾期</w:t>
            </w:r>
          </w:p>
        </w:tc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維持開案與提醒</w:t>
            </w:r>
          </w:p>
        </w:tc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授權者決定延展或重新處理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依核定期限；變更留核准</w:t>
            </w:r>
          </w:p>
        </w:tc>
        <w:tc>
          <w:tcPr>
            <w:tcW w:type="dxa" w:w="201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3"/>
              </w:rPr>
              <w:t>責任、期限、驗證與結案</w:t>
            </w:r>
          </w:p>
        </w:tc>
      </w:tr>
    </w:tbl>
    <w:p>
      <w:pPr>
        <w:pStyle w:val="Heading2"/>
      </w:pPr>
      <w:r>
        <w:t>6.1 異常台帳最小欄位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6"/>
        </w:rPr>
        <w:t>案件識別｜發現時間｜客觀事實｜立即控制｜升級對象｜決定權依據｜責任職務｜核定時限｜證據路徑｜覆核／驗證結果｜未結原因｜結案決定。缺少原件或驗證未完成者不得記為已結。</w:t>
      </w:r>
    </w:p>
    <w:p>
      <w:r>
        <w:br w:type="page"/>
      </w:r>
    </w:p>
    <w:p>
      <w:pPr>
        <w:pStyle w:val="Heading1"/>
      </w:pPr>
      <w:r>
        <w:t>7 I04-E04 要求追溯表與文件核定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1512"/>
        <w:gridCol w:w="1872"/>
        <w:gridCol w:w="1800"/>
        <w:gridCol w:w="1800"/>
        <w:gridCol w:w="1699"/>
        <w:gridCol w:w="1325"/>
      </w:tblGrid>
      <w:tr>
        <w:trPr>
          <w:tblHeader w:val="true"/>
          <w:cantSplit/>
          <w:cantSplit/>
        </w:trPr>
        <w:tc>
          <w:tcPr>
            <w:tcW w:type="dxa" w:w="151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要求</w:t>
            </w:r>
          </w:p>
        </w:tc>
        <w:tc>
          <w:tcPr>
            <w:tcW w:type="dxa" w:w="187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資料來源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欄位／指標</w:t>
            </w:r>
          </w:p>
        </w:tc>
        <w:tc>
          <w:tcPr>
            <w:tcW w:type="dxa" w:w="180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結果</w:t>
            </w:r>
          </w:p>
        </w:tc>
        <w:tc>
          <w:tcPr>
            <w:tcW w:type="dxa" w:w="1699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證據位置</w:t>
            </w:r>
          </w:p>
        </w:tc>
        <w:tc>
          <w:tcPr>
            <w:tcW w:type="dxa" w:w="1325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2"/>
              </w:rPr>
              <w:t>覆核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訓練實施依據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官方佐證表 p.2；逐案需求、計畫與核准原件（待取）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需求、對象、目標、資源、有效版本及放行條件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本程序定欄位；本會計畫與實績 WAITING_FOR_ORIGINAL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依文件代碼／案件索引；正式路徑待核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比對需求、核准及實施原件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訓練結果評估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核准評量工具、樣本及原始結果（待取）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兩項指定計算；工具版次、分子、分母與限制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計算口徑已定；實際數據 WAITING_FOR_ORIGINAL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逐案計算表連結原始資料；路徑待核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非計算者覆算並記差異日期</w:t>
            </w:r>
          </w:p>
        </w:tc>
      </w:tr>
      <w:tr>
        <w:trPr>
          <w:cantSplit/>
          <w:cantSplit/>
        </w:trPr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標準化 SOP</w:t>
            </w:r>
          </w:p>
        </w:tc>
        <w:tc>
          <w:tcPr>
            <w:tcW w:type="dxa" w:w="18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本程序核定版及後續作業紀錄（待取）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八欄步驟、決策點、異常、時限、輸出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本文為 DRAFT_SYNTHETIC，未核定生效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文件代碼、版次、公告與保存位置待核</w:t>
            </w:r>
          </w:p>
        </w:tc>
        <w:tc>
          <w:tcPr>
            <w:tcW w:type="dxa" w:w="132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2"/>
              </w:rPr>
              <w:t>授權角色依有效權責審定</w:t>
            </w:r>
          </w:p>
        </w:tc>
      </w:tr>
    </w:tbl>
    <w:p>
      <w:pPr>
        <w:pStyle w:val="Heading2"/>
      </w:pPr>
      <w:r>
        <w:t>7.1 文件核准、公告、版本及證據保存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草擬時記來源、版本及理由；覆核要求覆蓋、流程、數據口徑與事實界線。只有取得有效授權原件、明確範圍與生效條件後才可發布。公告應記實際日期、適用對象、取得方式及舊版回收；保存權限、期限、備份與調閱路徑依核實規章決定。任何變更保留理由、新舊差異、核准及通知軌跡。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777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受控輸出</w:t>
            </w:r>
          </w:p>
        </w:tc>
        <w:tc>
          <w:tcPr>
            <w:tcW w:type="dxa" w:w="777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紀錄欄位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需求與計畫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案件｜來源｜目標｜資源／風險｜工具版本｜覆核意見｜核准原件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實施與評估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日期｜有效版本｜原始觀察｜母體與缺值｜公式結果｜覆核｜附件位置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異常與文件控制</w:t>
            </w:r>
          </w:p>
        </w:tc>
        <w:tc>
          <w:tcPr>
            <w:tcW w:type="dxa" w:w="77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事件｜控制與升級｜期限｜驗證｜版次｜公告｜保存及調閱索引</w:t>
            </w:r>
          </w:p>
        </w:tc>
      </w:tr>
    </w:tbl>
    <w:p>
      <w:r>
        <w:br w:type="page"/>
      </w:r>
    </w:p>
    <w:p>
      <w:pPr>
        <w:pStyle w:val="Heading1"/>
      </w:pPr>
      <w:r>
        <w:t>8 真實升格檢核及Blueprint必答問題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2232"/>
        <w:gridCol w:w="6120"/>
        <w:gridCol w:w="1656"/>
      </w:tblGrid>
      <w:tr>
        <w:trPr>
          <w:tblHeader w:val="true"/>
          <w:cantSplit/>
          <w:cantSplit/>
        </w:trPr>
        <w:tc>
          <w:tcPr>
            <w:tcW w:type="dxa" w:w="223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替換／核實事項</w:t>
            </w:r>
          </w:p>
        </w:tc>
        <w:tc>
          <w:tcPr>
            <w:tcW w:type="dxa" w:w="6120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應取得的真實原件</w:t>
            </w:r>
          </w:p>
        </w:tc>
        <w:tc>
          <w:tcPr>
            <w:tcW w:type="dxa" w:w="165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目前狀態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真實角色與核准權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章程／授權決議／現行職務依據；列真實職務與範圍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適用課程及工具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需求、核定計畫、有效目標、評量工具與安全規則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公告及保存機制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核准、生效、公告、舊版回收、權限與保存路徑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  <w:tr>
        <w:trPr>
          <w:cantSplit/>
          <w:cantSplit/>
        </w:trPr>
        <w:tc>
          <w:tcPr>
            <w:tcW w:type="dxa" w:w="22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實施、計算與成效</w:t>
            </w:r>
          </w:p>
        </w:tc>
        <w:tc>
          <w:tcPr>
            <w:tcW w:type="dxa" w:w="612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實際班次、原始資料、公式覆算、異常與改善證據</w:t>
            </w:r>
          </w:p>
        </w:tc>
        <w:tc>
          <w:tcPr>
            <w:tcW w:type="dxa" w:w="165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WAITING_FOR_ORIGINAL</w:t>
            </w:r>
          </w:p>
        </w:tc>
      </w:tr>
    </w:tbl>
    <w:p>
      <w:pPr>
        <w:pStyle w:val="Heading2"/>
      </w:pPr>
      <w:r>
        <w:t>8.1 五項必答問題</w:t>
      </w:r>
    </w:p>
    <w:tbl>
      <w:tblPr>
        <w:tblW w:type="dxa" w:w="10008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5CF"/>
          <w:left w:val="single" w:sz="4" w:color="B8C5CF"/>
          <w:bottom w:val="single" w:sz="4" w:color="B8C5CF"/>
          <w:right w:val="single" w:sz="4" w:color="B8C5CF"/>
          <w:insideH w:val="single" w:sz="4" w:color="B8C5CF"/>
          <w:insideV w:val="single" w:sz="4" w:color="B8C5CF"/>
        </w:tblBorders>
      </w:tblPr>
      <w:tblGrid>
        <w:gridCol w:w="3672"/>
        <w:gridCol w:w="6336"/>
      </w:tblGrid>
      <w:tr>
        <w:trPr>
          <w:tblHeader w:val="true"/>
          <w:cantSplit/>
          <w:cantSplit/>
        </w:trPr>
        <w:tc>
          <w:tcPr>
            <w:tcW w:type="dxa" w:w="3672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問題</w:t>
            </w:r>
          </w:p>
        </w:tc>
        <w:tc>
          <w:tcPr>
            <w:tcW w:type="dxa" w:w="6336"/>
            <w:vAlign w:val="center"/>
            <w:shd w:fill="284B63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直接答案與位置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每一步誰做？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第4節八欄表逐步列出功能角色；正式採用前由核實職務替換。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何時不得往下走？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第3及第4節列明來源、授權、版本、安全、工具或資料未齊時退補／暫停。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異常如何升級？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第6節分列即時措施、升級決定、時限與關閉證據。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輸出證據放哪裡？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第4、7節列逐步紀錄及案件索引；正式保存路徑待核實。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本文件中哪一段/哪一表直接證明：「訓練結果的評估、訓練實施的依據及標準化作業流程（SOP）。」？</w:t>
            </w:r>
          </w:p>
        </w:tc>
        <w:tc>
          <w:tcPr>
            <w:tcW w:type="dxa" w:w="633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746"/>
                <w:sz w:val="14"/>
              </w:rPr>
              <w:t>第2節直接回應；第4節SOP、第5節評估計算、第6節異常、第7節六欄追溯表分別提供對應。</w:t>
            </w:r>
          </w:p>
        </w:tc>
      </w:tr>
    </w:tbl>
    <w:p>
      <w:pPr>
        <w:widowControl/>
      </w:pPr>
      <w:r>
        <w:rPr>
          <w:rFonts w:ascii="Microsoft JhengHei" w:hAnsi="Microsoft JhengHei" w:eastAsia="Microsoft JhengHei"/>
          <w:b w:val="0"/>
          <w:color w:val="263746"/>
          <w:sz w:val="15"/>
        </w:rPr>
        <w:t>本稿只可作 DRAFT_SYNTHETIC 設計範本。原始事實到齊後逐欄替換、覆核並依有效權責核定；未取得的核准、簽章、實際執行、成果及第三方證明保持待補。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1" w:right="979" w:bottom="850" w:left="979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57482"/>
        <w:sz w:val="14"/>
      </w:rPr>
      <w:t xml:space="preserve">0025 R08｜訓練評估與實施 SOP｜頁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57482"/>
        <w:sz w:val="14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Microsoft JhengHei" w:hAnsi="Microsoft JhengHei" w:eastAsia="Microsoft JhengHei"/>
      <w:color w:val="26374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B6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I04-E04｜DRAFT_SYNTHETIC｜R08</dc:subject>
  <dc:creator>python-docx</dc:creator>
  <cp:keywords>QP004; QE003; R08; DRAFT_SYNTHETIC; I04-E04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