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決策狀態：WAITING_FOR_ORIGINAL。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 w:eastAsia="Microsoft JhengHei"/>
                <w:color w:val="232F3D"/>
                <w:sz w:val="16"/>
              </w:rPr>
              <w:t>待補原始資料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  <w:keepNext/>
        <w:pageBreakBefore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t>13.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p>
      <w:pPr>
        <w:sectPr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0" w:after="100"/>
      </w:pPr>
      <w:r>
        <w:rPr>
          <w:rFonts w:ascii="Microsoft JhengHei" w:hAnsi="Microsoft JhengHei" w:eastAsia="Microsoft JhengHei"/>
          <w:b/>
          <w:color w:val="183A56"/>
          <w:sz w:val="28"/>
        </w:rPr>
        <w:t>附表 B I18-E08成果指標與資料來源矩陣</w:t>
      </w:r>
    </w:p>
    <w:p>
      <w:pPr>
        <w:spacing w:after="12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此矩陣把指標、分子、分母、期間、來源、基準、實績與目標合併列示。表內計算值均為合成示例，​不是協會實績；協會實際期間、來源原件、基準、目標及成果目前均為 WAITING_FOR_ORIGINAL，取得原件並完成核定前不得升格為實際成果。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843"/>
        <w:gridCol w:w="1800"/>
        <w:gridCol w:w="1901"/>
        <w:gridCol w:w="2333"/>
        <w:gridCol w:w="1843"/>
        <w:gridCol w:w="2088"/>
        <w:gridCol w:w="167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80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901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233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</w:t>
            </w:r>
          </w:p>
        </w:tc>
        <w:tc>
          <w:tcPr>
            <w:tcW w:type="dxa" w:w="2088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實績／結果</w:t>
            </w:r>
          </w:p>
        </w:tc>
        <w:tc>
          <w:tcPr>
            <w:tcW w:type="dxa" w:w="167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前測合成分數加總 172；後測 198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前、後測各 60 個題項答值（合成）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172 ÷ 60 = 2.8667（合成）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198 ÷ 60 = 3.3000（合成例；非協會實績）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WAITING_FOR_ORIGINAL；協會目標待取得及核定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個合成個案達示例門檻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6 個完整合成配對個案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2.8667（合成）；0.75 分為未核定示例門檻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÷ 6 = 0.0%（合成例；非協會實績）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WAITING_FOR_ORIGINAL；定義及門檻待取得與核定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後測平均−前測平均 = 0.433333333333（合成）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0.151162790698 = 15.1163%（合成例；非協會實績）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WAITING_FOR_ORIGINAL；協會目標待取得及核定</w:t>
            </w:r>
          </w:p>
        </w:tc>
      </w:tr>
    </w:tbl>
    <w:p>
      <w:pPr>
        <w:spacing w:before="120" w:after="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計算口徑：成果率＝符合門檻個案數／可評估個案數；變化率＝（後測平均－前測平均）／前測平均。正式使用時須以核定指標定義、真實配對資料及原件來源重新計算，並由授權人覆核。</w:t>
      </w:r>
    </w:p>
    <w:sectPr w:rsidR="00FC693F" w:rsidRPr="0006063C" w:rsidSect="00034616"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