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中長程業務發展策略地圖</w:t>
      </w:r>
    </w:p>
    <w:p>
      <w:pPr>
        <w:jc w:val="center"/>
      </w:pPr>
      <w:r>
        <w:rPr>
          <w:b/>
          <w:color w:val="1F4E79"/>
        </w:rPr>
        <w:t>I01-E01　｜　待人類決策工作稿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</w:tcPr>
          <w:p>
            <w:r>
              <w:rPr>
                <w:b/>
                <w:sz w:val="18"/>
              </w:rPr>
              <w:t>文件性質：提供完整方案與決策欄位；協會尚未核定的方向、時程、資源及權責以待決策狀態呈現。</w:t>
              <w:br/>
              <w:t>本文件是待核實工作稿，不能證明協會已核定、已執行或已有成果。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</w:tcPr>
          <w:p>
            <w:r>
              <w:rPr>
                <w:b/>
              </w:rPr>
              <w:t>文件編號</w:t>
            </w:r>
          </w:p>
        </w:tc>
        <w:tc>
          <w:tcPr>
            <w:tcW w:type="dxa" w:w="2541"/>
          </w:tcPr>
          <w:p>
            <w:r>
              <w:t>0001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對應指標</w:t>
            </w:r>
          </w:p>
        </w:tc>
        <w:tc>
          <w:tcPr>
            <w:tcW w:type="dxa" w:w="2541"/>
          </w:tcPr>
          <w:p>
            <w:r>
              <w:t>1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對應要求</w:t>
            </w:r>
          </w:p>
        </w:tc>
        <w:tc>
          <w:tcPr>
            <w:tcW w:type="dxa" w:w="2541"/>
          </w:tcPr>
          <w:p>
            <w:r>
              <w:t>I01-E01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原表頁碼</w:t>
            </w:r>
          </w:p>
        </w:tc>
        <w:tc>
          <w:tcPr>
            <w:tcW w:type="dxa" w:w="2541"/>
          </w:tcPr>
          <w:p>
            <w:r>
              <w:t>1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版本／狀態</w:t>
            </w:r>
          </w:p>
        </w:tc>
        <w:tc>
          <w:tcPr>
            <w:tcW w:type="dxa" w:w="2541"/>
          </w:tcPr>
          <w:p>
            <w:r>
              <w:t>R1／草案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製作日期</w:t>
            </w:r>
          </w:p>
        </w:tc>
        <w:tc>
          <w:tcPr>
            <w:tcW w:type="dxa" w:w="2541"/>
          </w:tcPr>
          <w:p>
            <w:r>
              <w:t>2026-09-25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權責／核定</w:t>
            </w:r>
          </w:p>
        </w:tc>
        <w:tc>
          <w:tcPr>
            <w:tcW w:type="dxa" w:w="2541"/>
          </w:tcPr>
          <w:p>
            <w:r>
              <w:t>待協會指派／待核定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真實證據</w:t>
            </w:r>
          </w:p>
        </w:tc>
        <w:tc>
          <w:tcPr>
            <w:tcW w:type="dxa" w:w="2541"/>
          </w:tcPr>
          <w:p>
            <w:r>
              <w:t>未建立；依文件性質補件或替換</w:t>
            </w:r>
          </w:p>
        </w:tc>
      </w:tr>
    </w:tbl>
    <w:p/>
    <w:p>
      <w:pPr>
        <w:pStyle w:val="Heading1"/>
        <w:keepNext/>
      </w:pPr>
      <w:r>
        <w:t>用途與來源定位</w:t>
      </w:r>
    </w:p>
    <w:p>
      <w:r>
        <w:t>本文件對應官方查核佐證資料表第 1 頁「中長程的業務發展規劃策略地圖。 （p.13；OOO手冊中第O頁； 官網首頁）」。其文件類型為：策略地圖與中長程經營規劃｜中長程的業務發展規劃策略地圖 (p.13；OOO手冊中第O頁； 官網。本件只回應此一證據用途；關聯文件以序號交叉引用，不重複主張其他指標的事實。</w:t>
      </w:r>
    </w:p>
    <w:p>
      <w:pPr>
        <w:pStyle w:val="Heading1"/>
        <w:keepNext/>
      </w:pPr>
      <w:r>
        <w:t>策略定位與邊界</w:t>
      </w:r>
    </w:p>
    <w:p>
      <w:pPr>
        <w:spacing w:after="100"/>
      </w:pPr>
      <w:r>
        <w:t>本提案以協會提供健康教育及傳統整復推拿技術相關學習為核心，服務內容以教育訓練和安全知識傳遞為界，不作診斷、醫療或療效保證。具體服務、師資資格與場域條件須另依適用法規核實。</w:t>
      </w:r>
    </w:p>
    <w:p>
      <w:pPr>
        <w:spacing w:after="100"/>
      </w:pPr>
      <w:r>
        <w:t>多元課程僅列為可評估選項；啟動條件為有需求資料、可用師資與場地、財務可行性及權責核定。</w:t>
      </w:r>
    </w:p>
    <w:p>
      <w:pPr>
        <w:pStyle w:val="Heading1"/>
        <w:keepNext/>
      </w:pPr>
      <w:r>
        <w:t>三年策略主軸</w:t>
      </w:r>
    </w:p>
    <w:p>
      <w:pPr>
        <w:spacing w:after="100"/>
      </w:pPr>
      <w:r>
        <w:t>主軸一：建立可重複的健康教育與身體操作安全課程架構。主軸二：以需求訪談和問卷辨識服務對象的學習障礙。主軸三：逐步建立課程設計、教學、評量、回饋與紀錄的閉環。</w:t>
      </w:r>
    </w:p>
    <w:p>
      <w:pPr>
        <w:spacing w:after="100"/>
      </w:pPr>
      <w:r>
        <w:t>三年是規劃視野，不代表已核定的年度承諾；起迄年度、目標值、承辦人及預算均列為待決策欄。</w:t>
      </w:r>
    </w:p>
    <w:p>
      <w:pPr>
        <w:pStyle w:val="Heading1"/>
        <w:keepNext/>
      </w:pPr>
      <w:r>
        <w:t>資源與責任</w:t>
      </w:r>
    </w:p>
    <w:p>
      <w:pPr>
        <w:spacing w:after="100"/>
      </w:pPr>
      <w:r>
        <w:t>建議由理監事會或協會授權的治理層設定方向，訓練承辦整合需求、課程與文件，講師提供教學專業，行政支援招生、場地、個資及紀錄。人名、職稱和實際可投入時數待協會確認。</w:t>
      </w:r>
    </w:p>
    <w:p>
      <w:pPr>
        <w:pStyle w:val="Heading1"/>
        <w:keepNext/>
      </w:pPr>
      <w:r>
        <w:t>核定</w:t>
      </w:r>
    </w:p>
    <w:p>
      <w:pPr>
        <w:spacing w:after="100"/>
      </w:pPr>
      <w:r>
        <w:t>本件尚未經協會決議。核定前由協會補入規劃期間、目標市場、資源上限、責任分工與決策紀錄；不可引用歷史草案中的固定課程數、時數、收入或成長率。</w:t>
      </w:r>
    </w:p>
    <w:p>
      <w:pPr>
        <w:pStyle w:val="Heading1"/>
        <w:keepNext/>
      </w:pPr>
      <w:r>
        <w:t>策略地圖：使命至可驗證成果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協會使命與核心</w:t>
            </w:r>
          </w:p>
        </w:tc>
        <w:tc>
          <w:tcPr>
            <w:tcW w:type="dxa" w:w="2033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目標市場價值</w:t>
            </w:r>
          </w:p>
        </w:tc>
        <w:tc>
          <w:tcPr>
            <w:tcW w:type="dxa" w:w="2033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課程能力</w:t>
            </w:r>
          </w:p>
        </w:tc>
        <w:tc>
          <w:tcPr>
            <w:tcW w:type="dxa" w:w="2033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服務品質與營運</w:t>
            </w:r>
          </w:p>
        </w:tc>
        <w:tc>
          <w:tcPr>
            <w:tcW w:type="dxa" w:w="2033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成果與改善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健康教育及傳統整復推拿技術為核心；不宣稱療效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由需求調查確認對象、障礙及期待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把需求轉成可觀察目標及安全課程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以合規師資、適切場地、受控流程提供</w:t>
            </w:r>
          </w:p>
        </w:tc>
        <w:tc>
          <w:tcPr>
            <w:tcW w:type="dxa" w:w="2033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以評量、回饋與追蹤檢討；逐期修訂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策略主軸—目標客群—課程產品—KPI—責任—時程矩陣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策略主軸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目標客群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課程方向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可觀察指標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責任角色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時程／狀態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健康教育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待需求調查確認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健康知識、自我照護與安全識讀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需求資料完整率；學習目標達成情形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訓練承辦／講師待指派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分階段規劃；待決策</w:t>
            </w:r>
          </w:p>
        </w:tc>
      </w:tr>
      <w:tr>
        <w:tc>
          <w:tcPr>
            <w:tcW w:type="dxa" w:w="169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傳統整復推拿技術</w:t>
            </w:r>
          </w:p>
        </w:tc>
        <w:tc>
          <w:tcPr>
            <w:tcW w:type="dxa" w:w="169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待需求調查確認</w:t>
            </w:r>
          </w:p>
        </w:tc>
        <w:tc>
          <w:tcPr>
            <w:tcW w:type="dxa" w:w="169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技術理解、操作流程與風險辨識</w:t>
            </w:r>
          </w:p>
        </w:tc>
        <w:tc>
          <w:tcPr>
            <w:tcW w:type="dxa" w:w="169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實作檢核完成情形；安全事件紀錄</w:t>
            </w:r>
          </w:p>
        </w:tc>
        <w:tc>
          <w:tcPr>
            <w:tcW w:type="dxa" w:w="169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講師／行政待指派</w:t>
            </w:r>
          </w:p>
        </w:tc>
        <w:tc>
          <w:tcPr>
            <w:tcW w:type="dxa" w:w="1694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先完成資格與法規審視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多元課程評估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依實際市場資料決定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以需求、資源、法規、品質四項門檻審查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每案有需求來源、資源估算及審查紀錄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治理層核決角色待定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符合條件後提案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要求—來源—證據位置—覆核追溯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要求ID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原表頁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官方要求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對應內容／位置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覆核角色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現況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I01-E01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1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中長程的業務發展規劃策略地圖。 （p.13；OOO手冊中第O頁； 官網首頁）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本文件第0001號；原始來源與附件以核實後登錄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待人類覆核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工作稿／未核定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待核實、待補件與交叉引用</w:t>
      </w:r>
    </w:p>
    <w:p>
      <w:pPr>
        <w:pStyle w:val="ListBullet"/>
        <w:spacing w:after="40"/>
      </w:pPr>
      <w:r>
        <w:t>規劃期間、權責角色、資源與目標值待協會決策。</w:t>
      </w:r>
    </w:p>
    <w:p>
      <w:pPr>
        <w:pStyle w:val="ListBullet"/>
        <w:spacing w:after="40"/>
      </w:pPr>
      <w:r>
        <w:t>核定前保留草案狀態，不公告為正式制度或承諾。</w:t>
      </w:r>
    </w:p>
    <w:p>
      <w:pPr>
        <w:pStyle w:val="ListBullet"/>
        <w:spacing w:after="40"/>
      </w:pPr>
      <w:r>
        <w:t>關聯要求參照：I02,I03,I05；本文件不替代其專屬紀錄。</w:t>
      </w:r>
    </w:p>
    <w:p>
      <w:pPr>
        <w:pStyle w:val="Heading2"/>
        <w:keepNext/>
      </w:pPr>
      <w:r>
        <w:t>現況與外部環境</w:t>
      </w:r>
    </w:p>
    <w:p>
      <w:r>
        <w:t>本協會目前可確定的背景只有使用者提供的組織名稱及核心方向；服務量、收入、人力、合作關係及市場份額均未由原始紀錄核實，本節不以推估值描述現況。</w:t>
      </w:r>
    </w:p>
    <w:p>
      <w:pPr>
        <w:pStyle w:val="Heading2"/>
        <w:keepNext/>
      </w:pPr>
      <w:r>
        <w:t>I01-E01官方要求的直接回應與適用情境</w:t>
      </w:r>
    </w:p>
    <w:p>
      <w:r>
        <w:t>本節逐字對應官方查核佐證資料表第 1 頁要求：「中長程的業務發展規劃策略地圖。 （p.13；OOO手冊中第O頁； 官網首頁）」。本文件僅提供該項要求所需的文件工作稿與追溯欄位。</w:t>
      </w:r>
    </w:p>
    <w:p>
      <w:pPr>
        <w:pStyle w:val="Heading2"/>
        <w:keepNext/>
      </w:pPr>
      <w:r>
        <w:t>使命/定位/目標市場</w:t>
      </w:r>
    </w:p>
    <w:p>
      <w:r>
        <w:t>定位維持健康教育及傳統整復推拿技術為核心。目標市場須由真實需求調查界定；在樣本與需求來源未取得前，不將會員或屏東縣民眾概括為已驗證客群。</w:t>
      </w:r>
    </w:p>
    <w:p>
      <w:pPr>
        <w:pStyle w:val="Heading2"/>
        <w:keepNext/>
      </w:pPr>
      <w:r>
        <w:t>策略因果鏈</w:t>
      </w:r>
    </w:p>
    <w:p>
      <w:r>
        <w:t>各策略主軸需依序連接需求證據、學習目標、課程設計、資源條件及可追溯成果；因果鏈中任一環節缺少來源時，標記為待驗證假設。</w:t>
      </w:r>
    </w:p>
    <w:p>
      <w:pPr>
        <w:pStyle w:val="Heading2"/>
        <w:keepNext/>
      </w:pPr>
      <w:r>
        <w:t>年度目標與KPI</w:t>
      </w:r>
    </w:p>
    <w:p>
      <w:r>
        <w:t>指標先寫清定義、分子、分母、期間、資料來源和覆核角色；協會未核定基準與目標前只保留計算口徑，不填目標數字或達成結論。</w:t>
      </w:r>
    </w:p>
    <w:p>
      <w:pPr>
        <w:pStyle w:val="Heading2"/>
        <w:keepNext/>
      </w:pPr>
      <w:r>
        <w:t>風險與假設</w:t>
      </w:r>
    </w:p>
    <w:p>
      <w:r>
        <w:t>主要控制是先核對需求與可用來源，再依「中長程的業務發展規劃策略地圖。 （p.13；OOO手冊中第O頁； 官網首頁）」的證明目的決定是否適用。來源不足、資料不一致、個資未授權或超出健康教育及傳統整復推拿技術範圍時，暫停引用、記錄差異並交權責人判定。</w:t>
      </w:r>
    </w:p>
    <w:p>
      <w:pPr>
        <w:pStyle w:val="Heading2"/>
        <w:keepNext/>
      </w:pPr>
      <w:r>
        <w:t>季度/年度檢討與修訂</w:t>
      </w:r>
    </w:p>
    <w:p>
      <w:r>
        <w:t>追蹤表應列責任角色、來源、檢查頻率、判定門檻、處置期限及複核結果。未取得真實資料前只登錄待辦狀態；改善是否有效須以後續原始紀錄驗證，不預填成效結論。</w:t>
      </w:r>
    </w:p>
    <w:p>
      <w:pPr>
        <w:pStyle w:val="Heading2"/>
        <w:keepNext/>
      </w:pPr>
      <w:r>
        <w:t>證據索引與核定</w:t>
      </w:r>
    </w:p>
    <w:p>
      <w:r>
        <w:t>版本狀態為 R1 草案。編製、覆核、核定、公告與保存責任須由協會指定；核定前不得標示為正式制度或已公告版本。修訂應記錄變更原因、受影響表單、通知對象、生效日與舊版回收位置。</w:t>
      </w:r>
    </w:p>
    <w:p>
      <w:pPr>
        <w:pStyle w:val="Heading2"/>
        <w:keepNext/>
      </w:pPr>
      <w:r>
        <w:t>I01-E01真實升格檢核與替換清單</w:t>
      </w:r>
    </w:p>
    <w:p>
      <w:r>
        <w:t>升格為協會正式文件前，須由權責人逐項確認：文件用途和範圍；真實日期、人員、課程、數值及原始紀錄；必要的主管核定；外部來源原件與使用授權；附件位置、版本及保存年限。未確認欄位維持待填，模擬值不得直接沿用。</w:t>
      </w:r>
    </w:p>
    <w:p>
      <w:pPr>
        <w:jc w:val="center"/>
      </w:pPr>
      <w:r>
        <w:rPr>
          <w:i/>
          <w:color w:val="646E78"/>
        </w:rPr>
        <w:t>— 文件結束 —</w:t>
      </w:r>
    </w:p>
    <w:sectPr w:rsidR="00FC693F" w:rsidRPr="0006063C" w:rsidSect="00034616">
      <w:footerReference w:type="default" r:id="rId9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社團法人屏東縣原始點關懷協會｜工作稿　</w:t>
    </w:r>
    <w:r>
      <w:rPr>
        <w:rFonts w:ascii="Microsoft JhengHei" w:hAnsi="Microsoft JhengHei"/>
      </w:rPr>
      <w:t xml:space="preserve">第 </w:t>
    </w:r>
    <w:fldSimple w:instr="PAGE"/>
    <w: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2830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TTQS requirement draft; source and truth status stated inside document</dc:subject>
  <dc:creator>文件製作工作稿</dc:creator>
  <cp:keywords>TTQS;工作稿;不得作為真實執行證據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