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策略因果鏈與三年KPI對照表</w:t>
      </w:r>
    </w:p>
    <w:p>
      <w:pPr>
        <w:jc w:val="center"/>
      </w:pPr>
      <w:r>
        <w:rPr>
          <w:b/>
          <w:color w:val="1F4E79"/>
        </w:rPr>
        <w:t>I01-E01　｜　待人類決策工作稿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文件性質：提供完整方案與決策欄位；協會尚未核定的方向、時程、資源及權責以待決策狀態呈現。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0002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I01-E01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頁「中長程的業務發展規劃策略地圖。 （p.13；OOO手冊中第O頁； 官網首頁）」。其文件類型為：策略地圖與中長程經營規劃｜中長程的業務發展規劃策略地圖 (p.13；OOO手冊中第O頁； 官網。本件只回應此一證據用途；關聯文件以序號交叉引用，不重複主張其他指標的事實。</w:t>
      </w:r>
    </w:p>
    <w:p>
      <w:pPr>
        <w:pStyle w:val="Heading1"/>
        <w:keepNext/>
      </w:pPr>
      <w:r>
        <w:t>策略因果鏈</w:t>
      </w:r>
    </w:p>
    <w:p>
      <w:pPr>
        <w:spacing w:after="100"/>
      </w:pPr>
      <w:r>
        <w:t>需求問題 → 學習目標 → 課程模組 → 教學與安全控制 → 學習評量 → 訓後追蹤 → 課程或營運改善。每一箭頭都須有可查紀錄，不能只以開課或招生數推論能力成效。</w:t>
      </w:r>
    </w:p>
    <w:p>
      <w:pPr>
        <w:spacing w:after="100"/>
      </w:pPr>
      <w:r>
        <w:t>市場資料由 I01-E02 調查工具與分析報告提供；課程設計由相應課程規劃文件承接；成果不得在本對照表重複生成。</w:t>
      </w:r>
    </w:p>
    <w:p>
      <w:pPr>
        <w:pStyle w:val="Heading1"/>
        <w:keepNext/>
      </w:pPr>
      <w:r>
        <w:t>KPI口徑</w:t>
      </w:r>
    </w:p>
    <w:p>
      <w:pPr>
        <w:spacing w:after="100"/>
      </w:pPr>
      <w:r>
        <w:t>先定義資料源、計算分母、期間與責任角色，再由協會決定目標值。沒有可核實基準時標示「待建立」，不以任意目標值填補。</w:t>
      </w:r>
    </w:p>
    <w:p>
      <w:pPr>
        <w:pStyle w:val="Heading1"/>
        <w:keepNext/>
      </w:pPr>
      <w:r>
        <w:t>策略因果與KPI口徑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因果階段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需驗證的問題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指標定義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資料來源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基準／目標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檢討責任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市場訊號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哪些學習需求反覆出現？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有效需求來源數及需求構面分布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核實後問卷、訪談紀錄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待真實基準與人類決定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訓練承辦待指派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課程設計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目標能否由單元與評量證明？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目標—單元—評量對應完整率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核定課程規劃及審查表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先建立計算口徑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課程審查角色待定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學習結果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學員是否達到預定技能？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達標人數／有效評量人數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簽核後的原始評量資料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不得預填實績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承辦彙整、主管覆核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改善回饋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偏差是否有負責人和期限？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改善措施按期驗證比例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改善追蹤單及驗證附件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待第一期真實紀錄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治理層定期檢視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本文件第0002號；原始來源與附件以核實後登錄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規劃期間、權責角色、資源與目標值待協會決策。</w:t>
      </w:r>
    </w:p>
    <w:p>
      <w:pPr>
        <w:pStyle w:val="ListBullet"/>
        <w:spacing w:after="40"/>
      </w:pPr>
      <w:r>
        <w:t>核定前保留草案狀態，不公告為正式制度或承諾。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現況與外部環境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I01-E01官方要求的直接回應與適用情境</w:t>
      </w:r>
    </w:p>
    <w:p>
      <w:r>
        <w:t>本節逐字對應官方查核佐證資料表第 1 頁要求：「中長程的業務發展規劃策略地圖。 （p.13；OOO手冊中第O頁； 官網首頁）」。本文件僅提供該項要求所需的文件工作稿與追溯欄位。</w:t>
      </w:r>
    </w:p>
    <w:p>
      <w:pPr>
        <w:pStyle w:val="Heading2"/>
        <w:keepNext/>
      </w:pPr>
      <w:r>
        <w:t>使命/定位/目標市場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三年策略主軸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年度目標與KPI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資源與責任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風險與假設</w:t>
      </w:r>
    </w:p>
    <w:p>
      <w:r>
        <w:t>主要控制是先核對需求與可用來源，再依「中長程的業務發展規劃策略地圖。 （p.13；OOO手冊中第O頁； 官網首頁）」的證明目的決定是否適用。來源不足、資料不一致、個資未授權或超出健康教育及傳統整復推拿技術範圍時，暫停引用、記錄差異並交權責人判定。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季度/年度檢討與修訂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證據索引與核定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I01-E01真實升格檢核與替換清單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