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111111"/>
          <w:sz w:val="43"/>
        </w:rPr>
        <w:t>策略因果鏈與三年KPI對照表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425466"/>
          <w:sz w:val="22"/>
        </w:rPr>
        <w:t>I01-E01  中長程業務發展策略的因果鏈、三年目標與檢核口徑</w:t>
      </w:r>
    </w:p>
    <w:p>
      <w:pPr>
        <w:widowControl/>
        <w:spacing w:after="100" w:line="269" w:lineRule="auto"/>
      </w:pPr>
      <w:r>
        <w:rPr>
          <w:rFonts w:ascii="Microsoft JhengHei" w:hAnsi="Microsoft JhengHei" w:eastAsia="Microsoft JhengHei"/>
          <w:b/>
          <w:color w:val="1E2933"/>
          <w:sz w:val="20"/>
        </w:rPr>
        <w:t>本稿</w:t>
      </w:r>
      <w:r>
        <w:rPr>
          <w:rFonts w:ascii="Microsoft JhengHei" w:hAnsi="Microsoft JhengHei" w:eastAsia="Microsoft JhengHei"/>
          <w:b w:val="0"/>
          <w:color w:val="1E2933"/>
          <w:sz w:val="20"/>
        </w:rPr>
        <w:t>把協會已提供的核心定位轉為可檢核的因果鏈，並列出供人類決策的三年KPI目標草案。市場需求、資源、適用規範、基準值與正式目標尚未核實或核定；表列數值全為模擬規劃提案，不是既有課程、活動、成果或核准目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5DEE7"/>
          <w:left w:val="single" w:sz="5" w:space="0" w:color="D5DEE7"/>
          <w:bottom w:val="single" w:sz="5" w:space="0" w:color="D5DEE7"/>
          <w:right w:val="single" w:sz="5" w:space="0" w:color="D5DEE7"/>
          <w:insideH w:val="single" w:sz="5" w:space="0" w:color="D5DEE7"/>
          <w:insideV w:val="single" w:sz="5" w:space="0" w:color="D5DEE7"/>
        </w:tblBorders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1814"/>
            <w:shd w:fill="23415F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文件控制項</w:t>
            </w:r>
          </w:p>
        </w:tc>
        <w:tc>
          <w:tcPr>
            <w:tcW w:type="dxa" w:w="7767"/>
            <w:shd w:fill="23415F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內容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1E2933"/>
                <w:sz w:val="18"/>
              </w:rPr>
              <w:t>機構</w:t>
            </w:r>
          </w:p>
        </w:tc>
        <w:tc>
          <w:tcPr>
            <w:tcW w:type="dxa" w:w="77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8"/>
              </w:rPr>
              <w:t>社團法人屏東縣原始點關懷協會</w:t>
            </w:r>
          </w:p>
        </w:tc>
      </w:tr>
      <w:tr>
        <w:trPr>
          <w:cantSplit/>
        </w:trPr>
        <w:tc>
          <w:tcPr>
            <w:tcW w:type="dxa" w:w="1814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1E2933"/>
                <w:sz w:val="18"/>
              </w:rPr>
              <w:t>官方要求</w:t>
            </w:r>
          </w:p>
        </w:tc>
        <w:tc>
          <w:tcPr>
            <w:tcW w:type="dxa" w:w="7767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8"/>
              </w:rPr>
              <w:t>I01-E01：中長程的業務發展規劃策略地圖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1E2933"/>
                <w:sz w:val="18"/>
              </w:rPr>
              <w:t>本件功能</w:t>
            </w:r>
          </w:p>
        </w:tc>
        <w:tc>
          <w:tcPr>
            <w:tcW w:type="dxa" w:w="77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8"/>
              </w:rPr>
              <w:t>策略因果鏈與三年KPI對照；不代替市場調查或實際課程紀錄</w:t>
            </w:r>
          </w:p>
        </w:tc>
      </w:tr>
      <w:tr>
        <w:trPr>
          <w:cantSplit/>
        </w:trPr>
        <w:tc>
          <w:tcPr>
            <w:tcW w:type="dxa" w:w="1814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1E2933"/>
                <w:sz w:val="18"/>
              </w:rPr>
              <w:t>修訂識別</w:t>
            </w:r>
          </w:p>
        </w:tc>
        <w:tc>
          <w:tcPr>
            <w:tcW w:type="dxa" w:w="7767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8"/>
              </w:rPr>
              <w:t>R4  |  QP002  |  QE002  |  文件序號 0002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1E2933"/>
                <w:sz w:val="18"/>
              </w:rPr>
              <w:t>文件狀態與期間</w:t>
            </w:r>
          </w:p>
        </w:tc>
        <w:tc>
          <w:tcPr>
            <w:tcW w:type="dxa" w:w="77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8"/>
              </w:rPr>
              <w:t>HUMAN_DECISION_DRAFT；第一至第三年度起算點待核定；尚無核定紀錄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spacing w:before="160" w:after="80"/>
      </w:pPr>
      <w:r>
        <w:rPr>
          <w:rFonts w:ascii="Microsoft JhengHei" w:hAnsi="Microsoft JhengHei" w:eastAsia="Microsoft JhengHei"/>
          <w:b/>
          <w:color w:val="152536"/>
          <w:sz w:val="28"/>
        </w:rPr>
        <w:t>一、證據定位與使用界線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5DEE7"/>
          <w:left w:val="single" w:sz="5" w:space="0" w:color="D5DEE7"/>
          <w:bottom w:val="single" w:sz="5" w:space="0" w:color="D5DEE7"/>
          <w:right w:val="single" w:sz="5" w:space="0" w:color="D5DEE7"/>
          <w:insideH w:val="single" w:sz="5" w:space="0" w:color="D5DEE7"/>
          <w:insideV w:val="single" w:sz="5" w:space="0" w:color="D5DEE7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28"/>
            <w:shd w:fill="23415F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來源與定位</w:t>
            </w:r>
          </w:p>
        </w:tc>
        <w:tc>
          <w:tcPr>
            <w:tcW w:type="dxa" w:w="3798"/>
            <w:shd w:fill="23415F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直接依據</w:t>
            </w:r>
          </w:p>
        </w:tc>
        <w:tc>
          <w:tcPr>
            <w:tcW w:type="dxa" w:w="3855"/>
            <w:shd w:fill="23415F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本件回應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1E2933"/>
                <w:sz w:val="17"/>
              </w:rPr>
              <w:t>官方查核佐證文件資料表（訓練機構版）</w:t>
            </w:r>
          </w:p>
        </w:tc>
        <w:tc>
          <w:tcPr>
            <w:tcW w:type="dxa" w:w="37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7"/>
              </w:rPr>
              <w:t>第1頁，指標1常見參考佐證：「中長程的業務發展規劃策略地圖。」</w:t>
            </w:r>
          </w:p>
        </w:tc>
        <w:tc>
          <w:tcPr>
            <w:tcW w:type="dxa" w:w="385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7"/>
              </w:rPr>
              <w:t>以策略因果圖、KPI目標路徑及量測口徑呈現直接回應。</w:t>
            </w:r>
          </w:p>
        </w:tc>
      </w:tr>
      <w:tr>
        <w:trPr>
          <w:cantSplit/>
        </w:trPr>
        <w:tc>
          <w:tcPr>
            <w:tcW w:type="dxa" w:w="1928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1E2933"/>
                <w:sz w:val="17"/>
              </w:rPr>
              <w:t>官方評核表（訓練機構版）</w:t>
            </w:r>
          </w:p>
        </w:tc>
        <w:tc>
          <w:tcPr>
            <w:tcW w:type="dxa" w:w="3798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7"/>
              </w:rPr>
              <w:t>第1頁，指標1評核內涵：未來經營方向及營運計畫；機構定位及目標客戶。</w:t>
            </w:r>
          </w:p>
        </w:tc>
        <w:tc>
          <w:tcPr>
            <w:tcW w:type="dxa" w:w="3855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7"/>
              </w:rPr>
              <w:t>把定位、需求驗證、課程能力與檢核目標連起來；不主張已經達成評核。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1E2933"/>
                <w:sz w:val="17"/>
              </w:rPr>
              <w:t>使用者提供的協會核心定位</w:t>
            </w:r>
          </w:p>
        </w:tc>
        <w:tc>
          <w:tcPr>
            <w:tcW w:type="dxa" w:w="379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7"/>
              </w:rPr>
              <w:t>健康教育及傳統整復推拿技術為核心；其他課程須依市場需求及可行條件發展。</w:t>
            </w:r>
          </w:p>
        </w:tc>
        <w:tc>
          <w:tcPr>
            <w:tcW w:type="dxa" w:w="385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7"/>
              </w:rPr>
              <w:t>僅作規劃邊界，不延伸為實際招生、辦訓或服務成效。</w:t>
            </w:r>
          </w:p>
        </w:tc>
      </w:tr>
    </w:tbl>
    <w:p>
      <w:pPr>
        <w:spacing w:after="20"/>
      </w:pPr>
    </w:p>
    <w:p>
      <w:pPr>
        <w:widowControl/>
        <w:spacing w:after="100" w:line="269" w:lineRule="auto"/>
      </w:pPr>
      <w:r>
        <w:rPr>
          <w:rFonts w:ascii="Microsoft JhengHei" w:hAnsi="Microsoft JhengHei" w:eastAsia="Microsoft JhengHei"/>
          <w:b/>
          <w:color w:val="1E2933"/>
          <w:sz w:val="20"/>
        </w:rPr>
        <w:t>目前</w:t>
      </w:r>
      <w:r>
        <w:rPr>
          <w:rFonts w:ascii="Microsoft JhengHei" w:hAnsi="Microsoft JhengHei" w:eastAsia="Microsoft JhengHei"/>
          <w:b w:val="0"/>
          <w:color w:val="1E2933"/>
          <w:sz w:val="20"/>
        </w:rPr>
        <w:t>未取得可核驗的協會既有中長程核定計畫、需求調查原始資料、課程執行紀錄、KPI基準值或成效資料。因此基準欄維持待盤點；任何正式日期、責任人、核准與實際數值均須由原始紀錄補入。</w:t>
      </w:r>
    </w:p>
    <w:p>
      <w:pPr>
        <w:widowControl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1E2933"/>
          <w:sz w:val="19"/>
        </w:rPr>
        <w:t>本件只擁有策略因果關係、KPI定義、提案目標及其檢討方法。需求調查的問卷、樣本及結果由I01-E02文件承接；課程政策、執行與成果則由各自要求的原始紀錄承接，避免在本件重算或冒充實際結果。</w:t>
      </w:r>
    </w:p>
    <w:p>
      <w:pPr>
        <w:pStyle w:val="Heading1"/>
        <w:keepNext/>
        <w:keepLines/>
        <w:spacing w:before="160" w:after="80"/>
      </w:pPr>
      <w:r>
        <w:rPr>
          <w:rFonts w:ascii="Microsoft JhengHei" w:hAnsi="Microsoft JhengHei" w:eastAsia="Microsoft JhengHei"/>
          <w:b/>
          <w:color w:val="152536"/>
          <w:sz w:val="28"/>
        </w:rPr>
        <w:t>二、策略因果鏈與價值傳遞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EE7"/>
          <w:left w:val="single" w:sz="4" w:space="0" w:color="D5DEE7"/>
          <w:bottom w:val="single" w:sz="4" w:space="0" w:color="D5DEE7"/>
          <w:right w:val="single" w:sz="4" w:space="0" w:color="D5DEE7"/>
          <w:insideH w:val="single" w:sz="4" w:space="0" w:color="D5DEE7"/>
          <w:insideV w:val="single" w:sz="4" w:space="0" w:color="D5DEE7"/>
        </w:tblBorders>
      </w:tblPr>
      <w:tblGrid>
        <w:gridCol w:w="1786"/>
        <w:gridCol w:w="198"/>
        <w:gridCol w:w="1786"/>
        <w:gridCol w:w="198"/>
        <w:gridCol w:w="1786"/>
        <w:gridCol w:w="198"/>
        <w:gridCol w:w="1786"/>
        <w:gridCol w:w="198"/>
        <w:gridCol w:w="1786"/>
      </w:tblGrid>
      <w:tr>
        <w:tc>
          <w:tcPr>
            <w:tcW w:type="dxa" w:w="1786"/>
            <w:shd w:fill="EAF1F7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8324A"/>
                <w:sz w:val="18"/>
              </w:rPr>
              <w:t>核心定位</w:t>
            </w:r>
          </w:p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E2933"/>
                <w:sz w:val="17"/>
              </w:rPr>
              <w:t>健康教育</w:t>
              <w:br/>
              <w:t>傳統整復推拿技術</w:t>
            </w:r>
          </w:p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B6570"/>
                <w:sz w:val="15"/>
              </w:rPr>
              <w:t>（已由使用者提供）</w:t>
            </w:r>
          </w:p>
        </w:tc>
        <w:tc>
          <w:tcPr>
            <w:tcW w:type="dxa" w:w="1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26A7A"/>
                <w:sz w:val="24"/>
              </w:rPr>
              <w:t>→</w:t>
            </w:r>
          </w:p>
        </w:tc>
        <w:tc>
          <w:tcPr>
            <w:tcW w:type="dxa" w:w="1786"/>
            <w:shd w:fill="FFF5D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8324A"/>
                <w:sz w:val="18"/>
              </w:rPr>
              <w:t>需求驗證</w:t>
            </w:r>
          </w:p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E2933"/>
                <w:sz w:val="17"/>
              </w:rPr>
              <w:t>對象與需要</w:t>
              <w:br/>
              <w:t>調查後確認</w:t>
            </w:r>
          </w:p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B6570"/>
                <w:sz w:val="15"/>
              </w:rPr>
              <w:t>（結果待取得）</w:t>
            </w:r>
          </w:p>
        </w:tc>
        <w:tc>
          <w:tcPr>
            <w:tcW w:type="dxa" w:w="1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26A7A"/>
                <w:sz w:val="24"/>
              </w:rPr>
              <w:t>→</w:t>
            </w:r>
          </w:p>
        </w:tc>
        <w:tc>
          <w:tcPr>
            <w:tcW w:type="dxa" w:w="1786"/>
            <w:shd w:fill="EAF1F7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8324A"/>
                <w:sz w:val="18"/>
              </w:rPr>
              <w:t>課程能力</w:t>
            </w:r>
          </w:p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E2933"/>
                <w:sz w:val="17"/>
              </w:rPr>
              <w:t>核心內容</w:t>
              <w:br/>
              <w:t>依需求配置</w:t>
            </w:r>
          </w:p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B6570"/>
                <w:sz w:val="15"/>
              </w:rPr>
              <w:t>（規劃草案）</w:t>
            </w:r>
          </w:p>
        </w:tc>
        <w:tc>
          <w:tcPr>
            <w:tcW w:type="dxa" w:w="1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26A7A"/>
                <w:sz w:val="24"/>
              </w:rPr>
              <w:t>→</w:t>
            </w:r>
          </w:p>
        </w:tc>
        <w:tc>
          <w:tcPr>
            <w:tcW w:type="dxa" w:w="1786"/>
            <w:shd w:fill="FFF5DF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8324A"/>
                <w:sz w:val="18"/>
              </w:rPr>
              <w:t>品質門檻</w:t>
            </w:r>
          </w:p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E2933"/>
                <w:sz w:val="17"/>
              </w:rPr>
              <w:t>內容、師資、資源</w:t>
              <w:br/>
              <w:t>適用規範與安全</w:t>
            </w:r>
          </w:p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B6570"/>
                <w:sz w:val="15"/>
              </w:rPr>
              <w:t>（逐案核驗）</w:t>
            </w:r>
          </w:p>
        </w:tc>
        <w:tc>
          <w:tcPr>
            <w:tcW w:type="dxa" w:w="1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26A7A"/>
                <w:sz w:val="24"/>
              </w:rPr>
              <w:t>→</w:t>
            </w:r>
          </w:p>
        </w:tc>
        <w:tc>
          <w:tcPr>
            <w:tcW w:type="dxa" w:w="1786"/>
            <w:shd w:fill="EAF1F7" w:val="clear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8324A"/>
                <w:sz w:val="18"/>
              </w:rPr>
              <w:t>預期價值</w:t>
            </w:r>
          </w:p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E2933"/>
                <w:sz w:val="17"/>
              </w:rPr>
              <w:t>學習品質</w:t>
              <w:br/>
              <w:t>公益與營運價值</w:t>
            </w:r>
          </w:p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5B6570"/>
                <w:sz w:val="15"/>
              </w:rPr>
              <w:t>（目標待核定）</w:t>
            </w:r>
          </w:p>
        </w:tc>
      </w:tr>
    </w:tbl>
    <w:p>
      <w:pPr>
        <w:spacing w:after="20"/>
      </w:pPr>
    </w:p>
    <w:p>
      <w:pPr>
        <w:keepNext/>
        <w:spacing w:before="80" w:after="80"/>
      </w:pPr>
      <w:r>
        <w:rPr>
          <w:rFonts w:ascii="Microsoft JhengHei" w:hAnsi="Microsoft JhengHei" w:eastAsia="Microsoft JhengHei"/>
          <w:b/>
          <w:color w:val="243B53"/>
          <w:sz w:val="18"/>
        </w:rPr>
        <w:t>圖1　由協會核心到可檢核價值的規劃因果鏈</w:t>
      </w:r>
    </w:p>
    <w:p>
      <w:pPr>
        <w:widowControl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1E2933"/>
          <w:sz w:val="19"/>
        </w:rPr>
        <w:t>因果判斷：只有在需求可追溯、課程內容與資源可承接、適用規範及安全條件完成核驗後，才將課程模組納入目標；未通過者先修正或暫緩。圖中需求、品質與價值均為規劃節點，不代表已有調查、課程或成果。</w:t>
      </w:r>
    </w:p>
    <w:p>
      <w:pPr>
        <w:pStyle w:val="Heading1"/>
        <w:keepNext/>
        <w:keepLines/>
        <w:spacing w:before="160" w:after="80"/>
      </w:pPr>
      <w:r>
        <w:rPr>
          <w:rFonts w:ascii="Microsoft JhengHei" w:hAnsi="Microsoft JhengHei" w:eastAsia="Microsoft JhengHei"/>
          <w:b/>
          <w:color w:val="152536"/>
          <w:sz w:val="28"/>
        </w:rPr>
        <w:t>三、因果假設與驗證條件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5DEE7"/>
          <w:left w:val="single" w:sz="5" w:space="0" w:color="D5DEE7"/>
          <w:bottom w:val="single" w:sz="5" w:space="0" w:color="D5DEE7"/>
          <w:right w:val="single" w:sz="5" w:space="0" w:color="D5DEE7"/>
          <w:insideH w:val="single" w:sz="5" w:space="0" w:color="D5DEE7"/>
          <w:insideV w:val="single" w:sz="5" w:space="0" w:color="D5DEE7"/>
        </w:tblBorders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134"/>
            <w:shd w:fill="23415F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因果段</w:t>
            </w:r>
          </w:p>
        </w:tc>
        <w:tc>
          <w:tcPr>
            <w:tcW w:type="dxa" w:w="2268"/>
            <w:shd w:fill="23415F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規劃主張（待決）</w:t>
            </w:r>
          </w:p>
        </w:tc>
        <w:tc>
          <w:tcPr>
            <w:tcW w:type="dxa" w:w="2835"/>
            <w:shd w:fill="23415F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應取得的證據</w:t>
            </w:r>
          </w:p>
        </w:tc>
        <w:tc>
          <w:tcPr>
            <w:tcW w:type="dxa" w:w="3345"/>
            <w:shd w:fill="23415F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決策條件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1E2933"/>
                <w:sz w:val="16"/>
              </w:rPr>
              <w:t>核心定位至需求</w:t>
            </w:r>
          </w:p>
        </w:tc>
        <w:tc>
          <w:tcPr>
            <w:tcW w:type="dxa" w:w="22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6"/>
              </w:rPr>
              <w:t>課程組合應維持健康教育與傳統整復推拿技術核心，並以可核實需求排序。</w:t>
            </w:r>
          </w:p>
        </w:tc>
        <w:tc>
          <w:tcPr>
            <w:tcW w:type="dxa" w:w="2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6"/>
              </w:rPr>
              <w:t>需求調查工具、有效回覆與分析結論；本件只連結I01-E02，不重複其調查結果。</w:t>
            </w:r>
          </w:p>
        </w:tc>
        <w:tc>
          <w:tcPr>
            <w:tcW w:type="dxa" w:w="334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6"/>
              </w:rPr>
              <w:t>沒有有效需求證據時，不把偏好或個別意見寫成市場結論。</w:t>
            </w:r>
          </w:p>
        </w:tc>
      </w:tr>
      <w:tr>
        <w:trPr>
          <w:cantSplit/>
        </w:trPr>
        <w:tc>
          <w:tcPr>
            <w:tcW w:type="dxa" w:w="1134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1E2933"/>
                <w:sz w:val="16"/>
              </w:rPr>
              <w:t>需求至課程能力</w:t>
            </w:r>
          </w:p>
        </w:tc>
        <w:tc>
          <w:tcPr>
            <w:tcW w:type="dxa" w:w="2268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6"/>
              </w:rPr>
              <w:t>只有需求明確、內容可教、資源可承接的主題才進入課程設計；其他主題須另經需求與可行性核驗。</w:t>
            </w:r>
          </w:p>
        </w:tc>
        <w:tc>
          <w:tcPr>
            <w:tcW w:type="dxa" w:w="2835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6"/>
              </w:rPr>
              <w:t>需求來源定位、課程目標與內容架構、師資能力與資源檢核。</w:t>
            </w:r>
          </w:p>
        </w:tc>
        <w:tc>
          <w:tcPr>
            <w:tcW w:type="dxa" w:w="3345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6"/>
              </w:rPr>
              <w:t>需求、內容或資源任一缺件，先補證或暫緩，不計入已就緒模組。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1E2933"/>
                <w:sz w:val="16"/>
              </w:rPr>
              <w:t>課程能力至安全品質</w:t>
            </w:r>
          </w:p>
        </w:tc>
        <w:tc>
          <w:tcPr>
            <w:tcW w:type="dxa" w:w="22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6"/>
              </w:rPr>
              <w:t>每一課程在實施前應完成教學品質、適用規範及安全條件檢核。</w:t>
            </w:r>
          </w:p>
        </w:tc>
        <w:tc>
          <w:tcPr>
            <w:tcW w:type="dxa" w:w="2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6"/>
              </w:rPr>
              <w:t>課程審查清單、資格與資源證明、適用規範覆核紀錄。</w:t>
            </w:r>
          </w:p>
        </w:tc>
        <w:tc>
          <w:tcPr>
            <w:tcW w:type="dxa" w:w="334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6"/>
              </w:rPr>
              <w:t>未確認規範或安全條件者不得列為可實施課程。</w:t>
            </w:r>
          </w:p>
        </w:tc>
      </w:tr>
      <w:tr>
        <w:trPr>
          <w:cantSplit/>
        </w:trPr>
        <w:tc>
          <w:tcPr>
            <w:tcW w:type="dxa" w:w="1134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1E2933"/>
                <w:sz w:val="16"/>
              </w:rPr>
              <w:t>學習品質至組織價值</w:t>
            </w:r>
          </w:p>
        </w:tc>
        <w:tc>
          <w:tcPr>
            <w:tcW w:type="dxa" w:w="2268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6"/>
              </w:rPr>
              <w:t>經檢核的課程設計可支援健康教育及技術學習；實際價值須由真實紀錄與定期檢討判斷。</w:t>
            </w:r>
          </w:p>
        </w:tc>
        <w:tc>
          <w:tcPr>
            <w:tcW w:type="dxa" w:w="2835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6"/>
              </w:rPr>
              <w:t>核定後的課程紀錄、學習評量及改善追蹤原件。</w:t>
            </w:r>
          </w:p>
        </w:tc>
        <w:tc>
          <w:tcPr>
            <w:tcW w:type="dxa" w:w="3345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6"/>
              </w:rPr>
              <w:t>沒有實際紀錄時只保留為預期價值，不宣稱成果或影響。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spacing w:before="160" w:after="80"/>
      </w:pPr>
      <w:r>
        <w:rPr>
          <w:rFonts w:ascii="Microsoft JhengHei" w:hAnsi="Microsoft JhengHei" w:eastAsia="Microsoft JhengHei"/>
          <w:b/>
          <w:color w:val="152536"/>
          <w:sz w:val="28"/>
        </w:rPr>
        <w:t>四、三年KPI目標對照</w:t>
      </w:r>
    </w:p>
    <w:p>
      <w:pPr>
        <w:widowControl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1E2933"/>
          <w:sz w:val="20"/>
        </w:rPr>
        <w:t>Y1、Y2、Y3均指正式核定後的第一、第二、第三完整規劃年度，起算日待協會決定。下表所有目標數字均為模擬提案，需先盤點基準、資源與規範，再由有權角色核定或修改；不能據此宣稱實績。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5DEE7"/>
          <w:left w:val="single" w:sz="5" w:space="0" w:color="D5DEE7"/>
          <w:bottom w:val="single" w:sz="5" w:space="0" w:color="D5DEE7"/>
          <w:right w:val="single" w:sz="5" w:space="0" w:color="D5DEE7"/>
          <w:insideH w:val="single" w:sz="5" w:space="0" w:color="D5DEE7"/>
          <w:insideV w:val="single" w:sz="5" w:space="0" w:color="D5DEE7"/>
        </w:tblBorders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2268"/>
            <w:shd w:fill="23415F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KPI與單位</w:t>
            </w:r>
          </w:p>
        </w:tc>
        <w:tc>
          <w:tcPr>
            <w:tcW w:type="dxa" w:w="879"/>
            <w:shd w:fill="23415F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Y1目標</w:t>
            </w:r>
          </w:p>
        </w:tc>
        <w:tc>
          <w:tcPr>
            <w:tcW w:type="dxa" w:w="879"/>
            <w:shd w:fill="23415F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Y2目標</w:t>
            </w:r>
          </w:p>
        </w:tc>
        <w:tc>
          <w:tcPr>
            <w:tcW w:type="dxa" w:w="879"/>
            <w:shd w:fill="23415F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Y3目標</w:t>
            </w:r>
          </w:p>
        </w:tc>
        <w:tc>
          <w:tcPr>
            <w:tcW w:type="dxa" w:w="4677"/>
            <w:shd w:fill="23415F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基準與主要證據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1E2933"/>
                <w:sz w:val="16"/>
              </w:rPr>
              <w:t>K1 年度需求驗證循環（次）</w:t>
            </w:r>
          </w:p>
        </w:tc>
        <w:tc>
          <w:tcPr>
            <w:tcW w:type="dxa" w:w="8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6"/>
              </w:rPr>
              <w:t>至少1次*</w:t>
            </w:r>
          </w:p>
        </w:tc>
        <w:tc>
          <w:tcPr>
            <w:tcW w:type="dxa" w:w="8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6"/>
              </w:rPr>
              <w:t>至少1次*</w:t>
            </w:r>
          </w:p>
        </w:tc>
        <w:tc>
          <w:tcPr>
            <w:tcW w:type="dxa" w:w="8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6"/>
              </w:rPr>
              <w:t>至少1次*</w:t>
            </w:r>
          </w:p>
        </w:tc>
        <w:tc>
          <w:tcPr>
            <w:tcW w:type="dxa" w:w="467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6"/>
              </w:rPr>
              <w:t>基準待盤點；完成調查、分析與課程決策紀錄。調查原件歸I01-E02。</w:t>
            </w:r>
          </w:p>
        </w:tc>
      </w:tr>
      <w:tr>
        <w:trPr>
          <w:cantSplit/>
        </w:trPr>
        <w:tc>
          <w:tcPr>
            <w:tcW w:type="dxa" w:w="2268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1E2933"/>
                <w:sz w:val="16"/>
              </w:rPr>
              <w:t>K2 通過需求、課程及可行性門檻的課程模組（年末累計數）</w:t>
            </w:r>
          </w:p>
        </w:tc>
        <w:tc>
          <w:tcPr>
            <w:tcW w:type="dxa" w:w="879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6"/>
              </w:rPr>
              <w:t>至少2項*</w:t>
            </w:r>
          </w:p>
        </w:tc>
        <w:tc>
          <w:tcPr>
            <w:tcW w:type="dxa" w:w="879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6"/>
              </w:rPr>
              <w:t>至少3項*</w:t>
            </w:r>
          </w:p>
        </w:tc>
        <w:tc>
          <w:tcPr>
            <w:tcW w:type="dxa" w:w="879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6"/>
              </w:rPr>
              <w:t>至少4項*</w:t>
            </w:r>
          </w:p>
        </w:tc>
        <w:tc>
          <w:tcPr>
            <w:tcW w:type="dxa" w:w="4677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6"/>
              </w:rPr>
              <w:t>基準待盤點；以不同模組識別碼、需求來源與完整審查紀錄計數，不等於辦訓班次。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1E2933"/>
                <w:sz w:val="16"/>
              </w:rPr>
              <w:t>K3 上架前品質及安全檢核完整率（%）</w:t>
            </w:r>
          </w:p>
        </w:tc>
        <w:tc>
          <w:tcPr>
            <w:tcW w:type="dxa" w:w="8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6"/>
              </w:rPr>
              <w:t>100%*</w:t>
            </w:r>
          </w:p>
        </w:tc>
        <w:tc>
          <w:tcPr>
            <w:tcW w:type="dxa" w:w="8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6"/>
              </w:rPr>
              <w:t>100%*</w:t>
            </w:r>
          </w:p>
        </w:tc>
        <w:tc>
          <w:tcPr>
            <w:tcW w:type="dxa" w:w="8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6"/>
              </w:rPr>
              <w:t>100%*</w:t>
            </w:r>
          </w:p>
        </w:tc>
        <w:tc>
          <w:tcPr>
            <w:tcW w:type="dxa" w:w="467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6"/>
              </w:rPr>
              <w:t>基準待盤點；完整通過紀錄的上架模組數／上架模組總數。</w:t>
            </w:r>
          </w:p>
        </w:tc>
      </w:tr>
      <w:tr>
        <w:trPr>
          <w:cantSplit/>
        </w:trPr>
        <w:tc>
          <w:tcPr>
            <w:tcW w:type="dxa" w:w="2268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1E2933"/>
                <w:sz w:val="16"/>
              </w:rPr>
              <w:t>K4 策略檢視完成次數（次／年）</w:t>
            </w:r>
          </w:p>
        </w:tc>
        <w:tc>
          <w:tcPr>
            <w:tcW w:type="dxa" w:w="879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6"/>
              </w:rPr>
              <w:t>2次*</w:t>
            </w:r>
          </w:p>
        </w:tc>
        <w:tc>
          <w:tcPr>
            <w:tcW w:type="dxa" w:w="879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6"/>
              </w:rPr>
              <w:t>2次*</w:t>
            </w:r>
          </w:p>
        </w:tc>
        <w:tc>
          <w:tcPr>
            <w:tcW w:type="dxa" w:w="879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6"/>
              </w:rPr>
              <w:t>2次*</w:t>
            </w:r>
          </w:p>
        </w:tc>
        <w:tc>
          <w:tcPr>
            <w:tcW w:type="dxa" w:w="4677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6"/>
              </w:rPr>
              <w:t>基準待盤點；每年兩次為規劃提案，須有檢視紀錄、決議與後續責任欄位。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1E2933"/>
                <w:sz w:val="16"/>
              </w:rPr>
              <w:t>K5 改善措施期限內結案率（%）</w:t>
            </w:r>
          </w:p>
        </w:tc>
        <w:tc>
          <w:tcPr>
            <w:tcW w:type="dxa" w:w="8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6"/>
              </w:rPr>
              <w:t>至少80%*</w:t>
            </w:r>
          </w:p>
        </w:tc>
        <w:tc>
          <w:tcPr>
            <w:tcW w:type="dxa" w:w="8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6"/>
              </w:rPr>
              <w:t>至少85%*</w:t>
            </w:r>
          </w:p>
        </w:tc>
        <w:tc>
          <w:tcPr>
            <w:tcW w:type="dxa" w:w="8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6"/>
              </w:rPr>
              <w:t>至少90%*</w:t>
            </w:r>
          </w:p>
        </w:tc>
        <w:tc>
          <w:tcPr>
            <w:tcW w:type="dxa" w:w="467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6"/>
              </w:rPr>
              <w:t>基準待盤點；有到期日及結案證據的改善事項／當年到期事項。</w:t>
            </w:r>
          </w:p>
        </w:tc>
      </w:tr>
    </w:tbl>
    <w:p>
      <w:pPr>
        <w:spacing w:after="20"/>
      </w:pPr>
    </w:p>
    <w:p>
      <w:pPr>
        <w:widowControl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1E2933"/>
          <w:sz w:val="18"/>
        </w:rPr>
        <w:t>* 模擬規劃提案值，尚未核定，且不代表實績。所有年度實績、基準值與證據位置目前留白待補；若分母為零或前期資料缺失，應記「不適用／待補」，不得填造百分比。</w:t>
      </w:r>
    </w:p>
    <w:p>
      <w:pPr>
        <w:pStyle w:val="Heading1"/>
        <w:keepNext/>
        <w:keepLines/>
        <w:spacing w:before="160" w:after="80"/>
      </w:pPr>
      <w:r>
        <w:rPr>
          <w:rFonts w:ascii="Microsoft JhengHei" w:hAnsi="Microsoft JhengHei" w:eastAsia="Microsoft JhengHei"/>
          <w:b/>
          <w:color w:val="152536"/>
          <w:sz w:val="28"/>
        </w:rPr>
        <w:t>五、計算口徑、資料來源與決策用途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5DEE7"/>
          <w:left w:val="single" w:sz="5" w:space="0" w:color="D5DEE7"/>
          <w:bottom w:val="single" w:sz="5" w:space="0" w:color="D5DEE7"/>
          <w:right w:val="single" w:sz="5" w:space="0" w:color="D5DEE7"/>
          <w:insideH w:val="single" w:sz="5" w:space="0" w:color="D5DEE7"/>
          <w:insideV w:val="single" w:sz="5" w:space="0" w:color="D5DEE7"/>
        </w:tblBorders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595"/>
            <w:shd w:fill="23415F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KPI</w:t>
            </w:r>
          </w:p>
        </w:tc>
        <w:tc>
          <w:tcPr>
            <w:tcW w:type="dxa" w:w="3118"/>
            <w:shd w:fill="23415F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計算口徑</w:t>
            </w:r>
          </w:p>
        </w:tc>
        <w:tc>
          <w:tcPr>
            <w:tcW w:type="dxa" w:w="2891"/>
            <w:shd w:fill="23415F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資料來源定位</w:t>
            </w:r>
          </w:p>
        </w:tc>
        <w:tc>
          <w:tcPr>
            <w:tcW w:type="dxa" w:w="1843"/>
            <w:shd w:fill="23415F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檢討用途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1E2933"/>
                <w:sz w:val="16"/>
              </w:rPr>
              <w:t>K1</w:t>
            </w:r>
          </w:p>
        </w:tc>
        <w:tc>
          <w:tcPr>
            <w:tcW w:type="dxa" w:w="311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6"/>
              </w:rPr>
              <w:t>完整需求驗證循環數；須有調查設計、實際蒐集、分析與課程決策，不以單一意見或未回收問卷計數。</w:t>
            </w:r>
          </w:p>
        </w:tc>
        <w:tc>
          <w:tcPr>
            <w:tcW w:type="dxa" w:w="289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6"/>
              </w:rPr>
              <w:t>I01-E02調查工具、執行及分析原件；本件只記循環數與連結。</w:t>
            </w:r>
          </w:p>
        </w:tc>
        <w:tc>
          <w:tcPr>
            <w:tcW w:type="dxa" w:w="184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6"/>
              </w:rPr>
              <w:t>辨識需求證據是否足以支持課程排序。</w:t>
            </w:r>
          </w:p>
        </w:tc>
      </w:tr>
      <w:tr>
        <w:trPr>
          <w:cantSplit/>
        </w:trPr>
        <w:tc>
          <w:tcPr>
            <w:tcW w:type="dxa" w:w="595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1E2933"/>
                <w:sz w:val="16"/>
              </w:rPr>
              <w:t>K2</w:t>
            </w:r>
          </w:p>
        </w:tc>
        <w:tc>
          <w:tcPr>
            <w:tcW w:type="dxa" w:w="3118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6"/>
              </w:rPr>
              <w:t>符合需求來源、課程架構、資源與適用規範檢核的不同模組累計數；不得以同一模組不同場次重複計數。</w:t>
            </w:r>
          </w:p>
        </w:tc>
        <w:tc>
          <w:tcPr>
            <w:tcW w:type="dxa" w:w="2891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6"/>
              </w:rPr>
              <w:t>課程模組清單、需求來源定位、內容與可行性審查紀錄。</w:t>
            </w:r>
          </w:p>
        </w:tc>
        <w:tc>
          <w:tcPr>
            <w:tcW w:type="dxa" w:w="1843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6"/>
              </w:rPr>
              <w:t>確認課程組合是否按證據逐步發展。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1E2933"/>
                <w:sz w:val="16"/>
              </w:rPr>
              <w:t>K3</w:t>
            </w:r>
          </w:p>
        </w:tc>
        <w:tc>
          <w:tcPr>
            <w:tcW w:type="dxa" w:w="311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6"/>
              </w:rPr>
              <w:t>完整通過上架前檢核的模組數 ÷ 當年上架模組總數 × 100%；若分母為零，記為不適用。</w:t>
            </w:r>
          </w:p>
        </w:tc>
        <w:tc>
          <w:tcPr>
            <w:tcW w:type="dxa" w:w="289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6"/>
              </w:rPr>
              <w:t>課程審查清單及每項檢核原件；未核驗前不填通過。</w:t>
            </w:r>
          </w:p>
        </w:tc>
        <w:tc>
          <w:tcPr>
            <w:tcW w:type="dxa" w:w="184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6"/>
              </w:rPr>
              <w:t>任一檢核缺件即暫緩上架，補件後再計入。</w:t>
            </w:r>
          </w:p>
        </w:tc>
      </w:tr>
      <w:tr>
        <w:trPr>
          <w:cantSplit/>
        </w:trPr>
        <w:tc>
          <w:tcPr>
            <w:tcW w:type="dxa" w:w="595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1E2933"/>
                <w:sz w:val="16"/>
              </w:rPr>
              <w:t>K4</w:t>
            </w:r>
          </w:p>
        </w:tc>
        <w:tc>
          <w:tcPr>
            <w:tcW w:type="dxa" w:w="3118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6"/>
              </w:rPr>
              <w:t>完成並留存紀錄的策略檢視次數；提案基準為每年2次。只有議題、判斷及後續事項均有紀錄才計數。</w:t>
            </w:r>
          </w:p>
        </w:tc>
        <w:tc>
          <w:tcPr>
            <w:tcW w:type="dxa" w:w="2891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6"/>
              </w:rPr>
              <w:t>策略檢視紀錄、版本修訂與責任追蹤。</w:t>
            </w:r>
          </w:p>
        </w:tc>
        <w:tc>
          <w:tcPr>
            <w:tcW w:type="dxa" w:w="1843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6"/>
              </w:rPr>
              <w:t>檢查需求、資源與目標是否仍適用。</w:t>
            </w:r>
          </w:p>
        </w:tc>
      </w:tr>
      <w:tr>
        <w:trPr>
          <w:cantSplit/>
        </w:trPr>
        <w:tc>
          <w:tcPr>
            <w:tcW w:type="dxa" w:w="59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1E2933"/>
                <w:sz w:val="16"/>
              </w:rPr>
              <w:t>K5</w:t>
            </w:r>
          </w:p>
        </w:tc>
        <w:tc>
          <w:tcPr>
            <w:tcW w:type="dxa" w:w="311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6"/>
              </w:rPr>
              <w:t>期限內完成且有結案證據的改善事項 ÷ 當年到期改善事項 × 100%；無到期事項時記為不適用。</w:t>
            </w:r>
          </w:p>
        </w:tc>
        <w:tc>
          <w:tcPr>
            <w:tcW w:type="dxa" w:w="289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6"/>
              </w:rPr>
              <w:t>改善追蹤清單及結案佐證；不以口頭回報代替結案證據。</w:t>
            </w:r>
          </w:p>
        </w:tc>
        <w:tc>
          <w:tcPr>
            <w:tcW w:type="dxa" w:w="184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6"/>
              </w:rPr>
              <w:t>辨識需調整責任、資源或時程的改善事項。</w:t>
            </w:r>
          </w:p>
        </w:tc>
      </w:tr>
    </w:tbl>
    <w:p>
      <w:pPr>
        <w:spacing w:after="20"/>
      </w:pPr>
    </w:p>
    <w:p>
      <w:pPr>
        <w:widowControl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1E2933"/>
          <w:sz w:val="20"/>
        </w:rPr>
        <w:t>年度KPI達成率＝當年實績 ÷ 經核定的當年目標 × 100%。目標尚未核定、基準尚未盤點或分母為零時，達成率記為待核定／不適用，不作推估。</w:t>
      </w:r>
    </w:p>
    <w:p>
      <w:pPr>
        <w:widowControl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1E2933"/>
          <w:sz w:val="20"/>
        </w:rPr>
        <w:t>年度成長率＝（本年實績－前一年實績）÷前一年實績 × 100%。前一年實績為零或未知時，成長率記為不適用，另報絕對增減量。K2提案目標路徑由2項至3項、再至4項，推算目標增幅分別為50%與33.3%；這是提案數值的算術結果，並非協會實際成長。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5DEE7"/>
          <w:left w:val="single" w:sz="5" w:space="0" w:color="D5DEE7"/>
          <w:bottom w:val="single" w:sz="5" w:space="0" w:color="D5DEE7"/>
          <w:right w:val="single" w:sz="5" w:space="0" w:color="D5DEE7"/>
          <w:insideH w:val="single" w:sz="5" w:space="0" w:color="D5DEE7"/>
          <w:insideV w:val="single" w:sz="5" w:space="0" w:color="D5DEE7"/>
        </w:tblBorders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304"/>
            <w:shd w:fill="23415F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年度紀錄欄</w:t>
            </w:r>
          </w:p>
        </w:tc>
        <w:tc>
          <w:tcPr>
            <w:tcW w:type="dxa" w:w="3005"/>
            <w:shd w:fill="23415F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協會填寫欄位</w:t>
            </w:r>
          </w:p>
        </w:tc>
        <w:tc>
          <w:tcPr>
            <w:tcW w:type="dxa" w:w="1304"/>
            <w:shd w:fill="23415F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年度紀錄欄</w:t>
            </w:r>
          </w:p>
        </w:tc>
        <w:tc>
          <w:tcPr>
            <w:tcW w:type="dxa" w:w="3005"/>
            <w:shd w:fill="23415F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協會填寫欄位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1E2933"/>
                <w:sz w:val="17"/>
              </w:rPr>
              <w:t>期間起訖</w:t>
            </w:r>
          </w:p>
        </w:tc>
        <w:tc>
          <w:tcPr>
            <w:tcW w:type="dxa" w:w="300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7"/>
              </w:rPr>
              <w:t>待核定／待填</w:t>
            </w:r>
          </w:p>
        </w:tc>
        <w:tc>
          <w:tcPr>
            <w:tcW w:type="dxa" w:w="1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7"/>
              </w:rPr>
              <w:t>基準值及原件位置</w:t>
            </w:r>
          </w:p>
        </w:tc>
        <w:tc>
          <w:tcPr>
            <w:tcW w:type="dxa" w:w="300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7"/>
              </w:rPr>
              <w:t>待盤點／待填</w:t>
            </w:r>
          </w:p>
        </w:tc>
      </w:tr>
      <w:tr>
        <w:trPr>
          <w:cantSplit/>
        </w:trPr>
        <w:tc>
          <w:tcPr>
            <w:tcW w:type="dxa" w:w="1304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1E2933"/>
                <w:sz w:val="17"/>
              </w:rPr>
              <w:t>核定目標及核定依據</w:t>
            </w:r>
          </w:p>
        </w:tc>
        <w:tc>
          <w:tcPr>
            <w:tcW w:type="dxa" w:w="3005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7"/>
              </w:rPr>
              <w:t>待核定／待填</w:t>
            </w:r>
          </w:p>
        </w:tc>
        <w:tc>
          <w:tcPr>
            <w:tcW w:type="dxa" w:w="1304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7"/>
              </w:rPr>
              <w:t>年度實績及計算表</w:t>
            </w:r>
          </w:p>
        </w:tc>
        <w:tc>
          <w:tcPr>
            <w:tcW w:type="dxa" w:w="3005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7"/>
              </w:rPr>
              <w:t>待填／待核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1E2933"/>
                <w:sz w:val="17"/>
              </w:rPr>
              <w:t>偏差或風險分析</w:t>
            </w:r>
          </w:p>
        </w:tc>
        <w:tc>
          <w:tcPr>
            <w:tcW w:type="dxa" w:w="300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7"/>
              </w:rPr>
              <w:t>待填</w:t>
            </w:r>
          </w:p>
        </w:tc>
        <w:tc>
          <w:tcPr>
            <w:tcW w:type="dxa" w:w="1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7"/>
              </w:rPr>
              <w:t>改善事項、責任角色與期限</w:t>
            </w:r>
          </w:p>
        </w:tc>
        <w:tc>
          <w:tcPr>
            <w:tcW w:type="dxa" w:w="300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304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1E2933"/>
                <w:sz w:val="17"/>
              </w:rPr>
              <w:t>策略調整決定及依據</w:t>
            </w:r>
          </w:p>
        </w:tc>
        <w:tc>
          <w:tcPr>
            <w:tcW w:type="dxa" w:w="3005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7"/>
              </w:rPr>
              <w:t>待核定角色確認後填寫</w:t>
            </w:r>
          </w:p>
        </w:tc>
        <w:tc>
          <w:tcPr>
            <w:tcW w:type="dxa" w:w="1304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7"/>
              </w:rPr>
              <w:t>檢視紀錄位置</w:t>
            </w:r>
          </w:p>
        </w:tc>
        <w:tc>
          <w:tcPr>
            <w:tcW w:type="dxa" w:w="3005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7"/>
              </w:rPr>
              <w:t>待補原件路徑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spacing w:before="160" w:after="80"/>
      </w:pPr>
      <w:r>
        <w:rPr>
          <w:rFonts w:ascii="Microsoft JhengHei" w:hAnsi="Microsoft JhengHei" w:eastAsia="Microsoft JhengHei"/>
          <w:b/>
          <w:color w:val="152536"/>
          <w:sz w:val="28"/>
        </w:rPr>
        <w:t>六、落地責任與策略檢視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5DEE7"/>
          <w:left w:val="single" w:sz="5" w:space="0" w:color="D5DEE7"/>
          <w:bottom w:val="single" w:sz="5" w:space="0" w:color="D5DEE7"/>
          <w:right w:val="single" w:sz="5" w:space="0" w:color="D5DEE7"/>
          <w:insideH w:val="single" w:sz="5" w:space="0" w:color="D5DEE7"/>
          <w:insideV w:val="single" w:sz="5" w:space="0" w:color="D5DEE7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531"/>
            <w:shd w:fill="23415F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待指派的功能角色</w:t>
            </w:r>
          </w:p>
        </w:tc>
        <w:tc>
          <w:tcPr>
            <w:tcW w:type="dxa" w:w="4082"/>
            <w:shd w:fill="23415F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必要工作</w:t>
            </w:r>
          </w:p>
        </w:tc>
        <w:tc>
          <w:tcPr>
            <w:tcW w:type="dxa" w:w="3005"/>
            <w:shd w:fill="23415F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需留存的可核驗紀錄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1E2933"/>
                <w:sz w:val="17"/>
              </w:rPr>
              <w:t>授權決策角色</w:t>
            </w:r>
          </w:p>
        </w:tc>
        <w:tc>
          <w:tcPr>
            <w:tcW w:type="dxa" w:w="408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7"/>
              </w:rPr>
              <w:t>確認規劃期間、基準、三年目標、資源及策略變更權限；尚未指派具名人員。</w:t>
            </w:r>
          </w:p>
        </w:tc>
        <w:tc>
          <w:tcPr>
            <w:tcW w:type="dxa" w:w="300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7"/>
              </w:rPr>
              <w:t>正式核定或會議決議原件、日期與保存位置。</w:t>
            </w:r>
          </w:p>
        </w:tc>
      </w:tr>
      <w:tr>
        <w:trPr>
          <w:cantSplit/>
        </w:trPr>
        <w:tc>
          <w:tcPr>
            <w:tcW w:type="dxa" w:w="1531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1E2933"/>
                <w:sz w:val="17"/>
              </w:rPr>
              <w:t>需求與課程規劃功能</w:t>
            </w:r>
          </w:p>
        </w:tc>
        <w:tc>
          <w:tcPr>
            <w:tcW w:type="dxa" w:w="4082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7"/>
              </w:rPr>
              <w:t>把I01-E02驗證結果連到課程優先序與模組設計；不得把假設當市場結論。</w:t>
            </w:r>
          </w:p>
        </w:tc>
        <w:tc>
          <w:tcPr>
            <w:tcW w:type="dxa" w:w="3005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7"/>
              </w:rPr>
              <w:t>需求分析來源、模組版本、課程設計及可行性檢核。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1E2933"/>
                <w:sz w:val="17"/>
              </w:rPr>
              <w:t>內容與安全覆核功能</w:t>
            </w:r>
          </w:p>
        </w:tc>
        <w:tc>
          <w:tcPr>
            <w:tcW w:type="dxa" w:w="408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7"/>
              </w:rPr>
              <w:t>逐案核對內容品質、師資能力、資源、適用規範及安全條件；未核驗即暫緩。</w:t>
            </w:r>
          </w:p>
        </w:tc>
        <w:tc>
          <w:tcPr>
            <w:tcW w:type="dxa" w:w="300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7"/>
              </w:rPr>
              <w:t>檢核表、資格／資源原件、覆核者角色與結論。</w:t>
            </w:r>
          </w:p>
        </w:tc>
      </w:tr>
      <w:tr>
        <w:trPr>
          <w:cantSplit/>
        </w:trPr>
        <w:tc>
          <w:tcPr>
            <w:tcW w:type="dxa" w:w="1531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1E2933"/>
                <w:sz w:val="17"/>
              </w:rPr>
              <w:t>資料與改善追蹤功能</w:t>
            </w:r>
          </w:p>
        </w:tc>
        <w:tc>
          <w:tcPr>
            <w:tcW w:type="dxa" w:w="4082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7"/>
              </w:rPr>
              <w:t>依一致口徑計算KPI、定位原件並追蹤改善事項；不得用推估取代實績。</w:t>
            </w:r>
          </w:p>
        </w:tc>
        <w:tc>
          <w:tcPr>
            <w:tcW w:type="dxa" w:w="3005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7"/>
              </w:rPr>
              <w:t>計算表、資料來源路徑、檢視及改善結案紀錄。</w:t>
            </w:r>
          </w:p>
        </w:tc>
      </w:tr>
    </w:tbl>
    <w:p>
      <w:pPr>
        <w:spacing w:after="20"/>
      </w:pPr>
    </w:p>
    <w:p>
      <w:pPr>
        <w:widowControl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1E2933"/>
          <w:sz w:val="20"/>
        </w:rPr>
        <w:t>檢視頻率提案為每年兩次，不指定日期。每次檢視應逐項核對需求證據、課程門檻、KPI實績、資源變化及改善進度；若目標未達、證據不足、需求轉變或適用條件有疑義，先記原因與處置，再由授權角色決定維持、修正或暫緩，不回填不存在的成果。</w:t>
      </w:r>
    </w:p>
    <w:p>
      <w:pPr>
        <w:pStyle w:val="Heading1"/>
        <w:keepNext/>
        <w:keepLines/>
        <w:spacing w:before="160" w:after="80"/>
      </w:pPr>
      <w:r>
        <w:rPr>
          <w:rFonts w:ascii="Microsoft JhengHei" w:hAnsi="Microsoft JhengHei" w:eastAsia="Microsoft JhengHei"/>
          <w:b/>
          <w:color w:val="152536"/>
          <w:sz w:val="28"/>
        </w:rPr>
        <w:t>七、主要風險與處置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5DEE7"/>
          <w:left w:val="single" w:sz="5" w:space="0" w:color="D5DEE7"/>
          <w:bottom w:val="single" w:sz="5" w:space="0" w:color="D5DEE7"/>
          <w:right w:val="single" w:sz="5" w:space="0" w:color="D5DEE7"/>
          <w:insideH w:val="single" w:sz="5" w:space="0" w:color="D5DEE7"/>
          <w:insideV w:val="single" w:sz="5" w:space="0" w:color="D5DEE7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587"/>
            <w:shd w:fill="23415F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風險</w:t>
            </w:r>
          </w:p>
        </w:tc>
        <w:tc>
          <w:tcPr>
            <w:tcW w:type="dxa" w:w="3628"/>
            <w:shd w:fill="23415F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可觀察的警訊</w:t>
            </w:r>
          </w:p>
        </w:tc>
        <w:tc>
          <w:tcPr>
            <w:tcW w:type="dxa" w:w="3402"/>
            <w:shd w:fill="23415F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處置原則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1E2933"/>
                <w:sz w:val="17"/>
              </w:rPr>
              <w:t>需求證據不足</w:t>
            </w:r>
          </w:p>
        </w:tc>
        <w:tc>
          <w:tcPr>
            <w:tcW w:type="dxa" w:w="36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7"/>
              </w:rPr>
              <w:t>調查樣本、分析或來源定位不足以支持課程排序。</w:t>
            </w:r>
          </w:p>
        </w:tc>
        <w:tc>
          <w:tcPr>
            <w:tcW w:type="dxa" w:w="340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7"/>
              </w:rPr>
              <w:t>暫停擴充；補做需求驗證，或維持已核定的核心範圍。</w:t>
            </w:r>
          </w:p>
        </w:tc>
      </w:tr>
      <w:tr>
        <w:trPr>
          <w:cantSplit/>
        </w:trPr>
        <w:tc>
          <w:tcPr>
            <w:tcW w:type="dxa" w:w="1587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1E2933"/>
                <w:sz w:val="17"/>
              </w:rPr>
              <w:t>規範或安全條件未核實</w:t>
            </w:r>
          </w:p>
        </w:tc>
        <w:tc>
          <w:tcPr>
            <w:tcW w:type="dxa" w:w="3628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7"/>
              </w:rPr>
              <w:t>課程內容、資格、資源或適用規範仍有待確認。</w:t>
            </w:r>
          </w:p>
        </w:tc>
        <w:tc>
          <w:tcPr>
            <w:tcW w:type="dxa" w:w="3402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7"/>
              </w:rPr>
              <w:t>不得列為可上架模組；取得真實覆核紀錄後再評估。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1E2933"/>
                <w:sz w:val="17"/>
              </w:rPr>
              <w:t>目標超出可用資源</w:t>
            </w:r>
          </w:p>
        </w:tc>
        <w:tc>
          <w:tcPr>
            <w:tcW w:type="dxa" w:w="36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7"/>
              </w:rPr>
              <w:t>人力、師資、場地、時間或經費證據不足。</w:t>
            </w:r>
          </w:p>
        </w:tc>
        <w:tc>
          <w:tcPr>
            <w:tcW w:type="dxa" w:w="340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7"/>
              </w:rPr>
              <w:t>先核實可用資源；由授權角色調整目標與順序，不假稱已完成。</w:t>
            </w:r>
          </w:p>
        </w:tc>
      </w:tr>
      <w:tr>
        <w:trPr>
          <w:cantSplit/>
        </w:trPr>
        <w:tc>
          <w:tcPr>
            <w:tcW w:type="dxa" w:w="1587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1E2933"/>
                <w:sz w:val="17"/>
              </w:rPr>
              <w:t>年度資料口徑不一致</w:t>
            </w:r>
          </w:p>
        </w:tc>
        <w:tc>
          <w:tcPr>
            <w:tcW w:type="dxa" w:w="3628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7"/>
              </w:rPr>
              <w:t>同一指標的基準、計數單位或分母改變。</w:t>
            </w:r>
          </w:p>
        </w:tc>
        <w:tc>
          <w:tcPr>
            <w:tcW w:type="dxa" w:w="3402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7"/>
              </w:rPr>
              <w:t>保留計算定義與版本；修訂需說明原因，不回溯造數。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spacing w:before="160" w:after="80"/>
      </w:pPr>
      <w:r>
        <w:rPr>
          <w:rFonts w:ascii="Microsoft JhengHei" w:hAnsi="Microsoft JhengHei" w:eastAsia="Microsoft JhengHei"/>
          <w:b/>
          <w:color w:val="152536"/>
          <w:sz w:val="28"/>
        </w:rPr>
        <w:t>八、真實升格前待決與待補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5DEE7"/>
          <w:left w:val="single" w:sz="5" w:space="0" w:color="D5DEE7"/>
          <w:bottom w:val="single" w:sz="5" w:space="0" w:color="D5DEE7"/>
          <w:right w:val="single" w:sz="5" w:space="0" w:color="D5DEE7"/>
          <w:insideH w:val="single" w:sz="5" w:space="0" w:color="D5DEE7"/>
          <w:insideV w:val="single" w:sz="5" w:space="0" w:color="D5DEE7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531"/>
            <w:shd w:fill="23415F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待決項目</w:t>
            </w:r>
          </w:p>
        </w:tc>
        <w:tc>
          <w:tcPr>
            <w:tcW w:type="dxa" w:w="4762"/>
            <w:shd w:fill="23415F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升格前須取得或完成</w:t>
            </w:r>
          </w:p>
        </w:tc>
        <w:tc>
          <w:tcPr>
            <w:tcW w:type="dxa" w:w="2324"/>
            <w:shd w:fill="23415F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目前狀態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1E2933"/>
                <w:sz w:val="17"/>
              </w:rPr>
              <w:t>規劃期間及起算點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7"/>
              </w:rPr>
              <w:t>協會確認第一至第三年度期間與正式日期。</w:t>
            </w:r>
          </w:p>
        </w:tc>
        <w:tc>
          <w:tcPr>
            <w:tcW w:type="dxa" w:w="23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7"/>
              </w:rPr>
              <w:t>待決；本件未填正式日期。</w:t>
            </w:r>
          </w:p>
        </w:tc>
      </w:tr>
      <w:tr>
        <w:trPr>
          <w:cantSplit/>
        </w:trPr>
        <w:tc>
          <w:tcPr>
            <w:tcW w:type="dxa" w:w="1531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1E2933"/>
                <w:sz w:val="17"/>
              </w:rPr>
              <w:t>目標與基準</w:t>
            </w:r>
          </w:p>
        </w:tc>
        <w:tc>
          <w:tcPr>
            <w:tcW w:type="dxa" w:w="4762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7"/>
              </w:rPr>
              <w:t>盤點可查的既有原始紀錄、完成基準計算，並核定或替換全部提案值。</w:t>
            </w:r>
          </w:p>
        </w:tc>
        <w:tc>
          <w:tcPr>
            <w:tcW w:type="dxa" w:w="2324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7"/>
              </w:rPr>
              <w:t>待盤點；表列數值皆非實績。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1E2933"/>
                <w:sz w:val="17"/>
              </w:rPr>
              <w:t>市場需求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7"/>
              </w:rPr>
              <w:t>取得I01-E02調查工具、執行紀錄、有效資料、分析及決策證據。</w:t>
            </w:r>
          </w:p>
        </w:tc>
        <w:tc>
          <w:tcPr>
            <w:tcW w:type="dxa" w:w="23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7"/>
              </w:rPr>
              <w:t>未提供原始調查資料；不得寫成已驗證需求。</w:t>
            </w:r>
          </w:p>
        </w:tc>
      </w:tr>
      <w:tr>
        <w:trPr>
          <w:cantSplit/>
        </w:trPr>
        <w:tc>
          <w:tcPr>
            <w:tcW w:type="dxa" w:w="1531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1E2933"/>
                <w:sz w:val="17"/>
              </w:rPr>
              <w:t>課程及法規、安全條件</w:t>
            </w:r>
          </w:p>
        </w:tc>
        <w:tc>
          <w:tcPr>
            <w:tcW w:type="dxa" w:w="4762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7"/>
              </w:rPr>
              <w:t>補入真實課程架構、師資與資源證明，以及適用規範和安全覆核原件。</w:t>
            </w:r>
          </w:p>
        </w:tc>
        <w:tc>
          <w:tcPr>
            <w:tcW w:type="dxa" w:w="2324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7"/>
              </w:rPr>
              <w:t>未提供；任何模組均不得宣稱已通過上架檢核。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1E2933"/>
                <w:sz w:val="17"/>
              </w:rPr>
              <w:t>責任角色與核定</w:t>
            </w:r>
          </w:p>
        </w:tc>
        <w:tc>
          <w:tcPr>
            <w:tcW w:type="dxa" w:w="476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7"/>
              </w:rPr>
              <w:t>由協會依權責指定角色、資源及核定程序，保存決議與原件位置。</w:t>
            </w:r>
          </w:p>
        </w:tc>
        <w:tc>
          <w:tcPr>
            <w:tcW w:type="dxa" w:w="23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7"/>
              </w:rPr>
              <w:t>未指定、未核定；本件沒有簽署或用印。</w:t>
            </w:r>
          </w:p>
        </w:tc>
      </w:tr>
      <w:tr>
        <w:trPr>
          <w:cantSplit/>
        </w:trPr>
        <w:tc>
          <w:tcPr>
            <w:tcW w:type="dxa" w:w="1531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1E2933"/>
                <w:sz w:val="17"/>
              </w:rPr>
              <w:t>實際KPI及改善結果</w:t>
            </w:r>
          </w:p>
        </w:tc>
        <w:tc>
          <w:tcPr>
            <w:tcW w:type="dxa" w:w="4762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7"/>
              </w:rPr>
              <w:t>以實際資料計算達成率或成長率，並保留原始紀錄及計算過程。</w:t>
            </w:r>
          </w:p>
        </w:tc>
        <w:tc>
          <w:tcPr>
            <w:tcW w:type="dxa" w:w="2324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7"/>
              </w:rPr>
              <w:t>未提供；實績、比例與成果欄位留待填寫。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spacing w:before="160" w:after="80"/>
      </w:pPr>
      <w:r>
        <w:rPr>
          <w:rFonts w:ascii="Microsoft JhengHei" w:hAnsi="Microsoft JhengHei" w:eastAsia="Microsoft JhengHei"/>
          <w:b/>
          <w:color w:val="152536"/>
          <w:sz w:val="28"/>
        </w:rPr>
        <w:t>九、要求追溯與文件結論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5DEE7"/>
          <w:left w:val="single" w:sz="5" w:space="0" w:color="D5DEE7"/>
          <w:bottom w:val="single" w:sz="5" w:space="0" w:color="D5DEE7"/>
          <w:right w:val="single" w:sz="5" w:space="0" w:color="D5DEE7"/>
          <w:insideH w:val="single" w:sz="5" w:space="0" w:color="D5DEE7"/>
          <w:insideV w:val="single" w:sz="5" w:space="0" w:color="D5DEE7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3005"/>
            <w:shd w:fill="23415F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要求來源</w:t>
            </w:r>
          </w:p>
        </w:tc>
        <w:tc>
          <w:tcPr>
            <w:tcW w:type="dxa" w:w="3118"/>
            <w:shd w:fill="23415F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本件可核對位置</w:t>
            </w:r>
          </w:p>
        </w:tc>
        <w:tc>
          <w:tcPr>
            <w:tcW w:type="dxa" w:w="2494"/>
            <w:shd w:fill="23415F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證據狀態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1E2933"/>
                <w:sz w:val="16"/>
              </w:rPr>
              <w:t>官方查核佐證文件資料表，訓練機構版，第1頁：中長程的業務發展規劃策略地圖。</w:t>
            </w:r>
          </w:p>
        </w:tc>
        <w:tc>
          <w:tcPr>
            <w:tcW w:type="dxa" w:w="311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6"/>
              </w:rPr>
              <w:t>圖1、第三節因果條件、第四節三年KPI目標及第五節計算口徑。</w:t>
            </w:r>
          </w:p>
        </w:tc>
        <w:tc>
          <w:tcPr>
            <w:tcW w:type="dxa" w:w="24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6"/>
              </w:rPr>
              <w:t>已依官方文字編製規劃草案；不等於協會已核定策略。</w:t>
            </w:r>
          </w:p>
        </w:tc>
      </w:tr>
      <w:tr>
        <w:trPr>
          <w:cantSplit/>
        </w:trPr>
        <w:tc>
          <w:tcPr>
            <w:tcW w:type="dxa" w:w="3005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1E2933"/>
                <w:sz w:val="16"/>
              </w:rPr>
              <w:t>官方評核表，訓練機構版，第1頁：未來經營方向、營運計畫、定位及目標客戶。</w:t>
            </w:r>
          </w:p>
        </w:tc>
        <w:tc>
          <w:tcPr>
            <w:tcW w:type="dxa" w:w="3118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6"/>
              </w:rPr>
              <w:t>第一節來源對照、圖1、KPI與待決事項。</w:t>
            </w:r>
          </w:p>
        </w:tc>
        <w:tc>
          <w:tcPr>
            <w:tcW w:type="dxa" w:w="2494"/>
            <w:shd w:fill="F3F6F9" w:val="clear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6"/>
              </w:rPr>
              <w:t>評核要求已對應；實際定位以協會核定資料為準。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1E2933"/>
                <w:sz w:val="16"/>
              </w:rPr>
              <w:t>協會使用者提供的核心定位與發展邊界。</w:t>
            </w:r>
          </w:p>
        </w:tc>
        <w:tc>
          <w:tcPr>
            <w:tcW w:type="dxa" w:w="311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6"/>
              </w:rPr>
              <w:t>圖1核心節點及第三、四節的課程範圍條件。</w:t>
            </w:r>
          </w:p>
        </w:tc>
        <w:tc>
          <w:tcPr>
            <w:tcW w:type="dxa" w:w="24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E2933"/>
                <w:sz w:val="16"/>
              </w:rPr>
              <w:t>僅為提供資訊；沒有外部市場或成果宣稱。</w:t>
            </w:r>
          </w:p>
        </w:tc>
      </w:tr>
    </w:tbl>
    <w:p>
      <w:pPr>
        <w:spacing w:after="20"/>
      </w:pPr>
    </w:p>
    <w:p>
      <w:pPr>
        <w:widowControl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1E2933"/>
          <w:sz w:val="20"/>
        </w:rPr>
        <w:t>文件結論：本件是一份待人類決策的策略因果與KPI規劃草案。尚無正式核定、真實基準或實際成果可供主張；待決項目完成並取得原始證據後，才可更新為協會現況或正式規劃。</w:t>
      </w:r>
    </w:p>
    <w:p>
      <w:pPr>
        <w:widowControl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1E2933"/>
          <w:sz w:val="18"/>
        </w:rPr>
        <w:t>修訂識別：R4  |  QP002  |  QE002  |  文件序號 0002。本文未經協會核定，亦不構成核定、簽署或用印。</w:t>
      </w:r>
    </w:p>
    <w:sectPr w:rsidR="00FC693F" w:rsidRPr="0006063C" w:rsidSect="00034616">
      <w:footerReference w:type="default" r:id="rId9"/>
      <w:pgSz w:w="11906" w:h="16838"/>
      <w:pgMar w:top="879" w:right="964" w:bottom="879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icrosoft JhengHei" w:hAnsi="Microsoft JhengHei" w:eastAsia="Microsoft JhengHei"/>
        <w:b w:val="0"/>
        <w:color w:val="5B6570"/>
        <w:sz w:val="16"/>
      </w:rPr>
      <w:t xml:space="preserve">0002  I01-E01  |  HUMAN_DECISION_DRAFT  |  R4 / QP002 / QE002  |  第 </w:t>
    </w:r>
    <w:r>
      <w:rPr>
        <w:rFonts w:ascii="Microsoft JhengHei" w:hAnsi="Microsoft JhengHei" w:eastAsia="Microsoft JhengHei"/>
        <w:b w:val="0"/>
        <w:color w:val="5B6570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1E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525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5253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52536"/>
      <w:spacing w:val="5"/>
      <w:kern w:val="28"/>
      <w:sz w:val="4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策略因果鏈與三年KPI對照表</dc:title>
  <dc:subject>I01-E01 中長程業務發展策略的因果鏈及三年KPI規劃</dc:subject>
  <dc:creator>社團法人屏東縣原始點關懷協會</dc:creator>
  <cp:keywords>I01-E01; R4; QP002; QE002; HUMAN_DECISION_DRAFT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