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目標市場需求分析報告</w:t>
      </w:r>
    </w:p>
    <w:p>
      <w:pPr>
        <w:jc w:val="center"/>
      </w:pPr>
      <w:r>
        <w:rPr>
          <w:b/>
          <w:color w:val="1F4E79"/>
        </w:rPr>
        <w:t>I01-E02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3564"/>
          </w:tcPr>
          <w:p>
            <w:r>
              <w:t>0005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3564"/>
          </w:tcPr>
          <w:p>
            <w:r>
              <w:t>1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3564"/>
          </w:tcPr>
          <w:p>
            <w:r>
              <w:t>I01-E02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3564"/>
          </w:tcPr>
          <w:p>
            <w:r>
              <w:t>1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3564"/>
          </w:tcPr>
          <w:p>
            <w:r>
              <w:t>R1／草案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3564"/>
          </w:tcPr>
          <w:p>
            <w:r>
              <w:t>2026-09-25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3564"/>
          </w:tcPr>
          <w:p>
            <w:r>
              <w:t>待協會指派／待核定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3564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1 頁「目標市場需求調查。」。其文件類型為：目標市場需求調查工具與分析報告。本件只回應此一證據用途；關聯文件以序號交叉引用，不重複主張其他指標的事實。</w:t>
      </w:r>
    </w:p>
    <w:p>
      <w:pPr>
        <w:pStyle w:val="Heading1"/>
        <w:keepNext/>
      </w:pPr>
      <w:r>
        <w:t>分析結論</w:t>
      </w:r>
    </w:p>
    <w:p>
      <w:pPr>
        <w:spacing w:after="100"/>
      </w:pPr>
      <w:r>
        <w:t>依 seq 0004 的模擬資料，健康自我照護知識、傳統整復推拿安全與服務溝通三個構面呈現測試用需求排序。其統計僅驗證公式及報告版型，不能外推至屏東縣市場，也不能據此宣稱學員或客戶有此偏好。</w:t>
      </w:r>
    </w:p>
    <w:p>
      <w:pPr>
        <w:spacing w:after="100"/>
      </w:pPr>
      <w:r>
        <w:t>建議正式調查至少分辨會員、潛在學員、合作單位及一般民眾，並交代各群邀請與回覆差異；完成後再由協會依師資、成本與法規作課程優先決策。</w:t>
      </w:r>
    </w:p>
    <w:p>
      <w:pPr>
        <w:pStyle w:val="Heading1"/>
        <w:keepNext/>
      </w:pPr>
      <w:r>
        <w:t>決策與限制</w:t>
      </w:r>
    </w:p>
    <w:p>
      <w:pPr>
        <w:spacing w:after="100"/>
      </w:pPr>
      <w:r>
        <w:t>模擬結果只能提出待驗證假設。下一步是取得真實樣本、覆核問卷措辭及抽樣對象，再以真實數據重算需求優先度。</w:t>
      </w:r>
    </w:p>
    <w:p>
      <w:pPr>
        <w:pStyle w:val="Heading1"/>
        <w:keepNext/>
      </w:pPr>
      <w:r>
        <w:t>模擬構面分析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需求構面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有效作答數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平均重要度（1–5）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高需求比例（4或5）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證據狀態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健康識讀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12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4.08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9/12 (75.0%)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模擬；不得外推</w:t>
            </w:r>
          </w:p>
        </w:tc>
      </w:tr>
      <w:tr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自我照護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12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4.17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10/12 (83.3%)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模擬；不得外推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操作安全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12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4.08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10/12 (83.3%)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模擬；不得外推</w:t>
            </w:r>
          </w:p>
        </w:tc>
      </w:tr>
      <w:tr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溝通服務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12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3.92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9/12 (75.0%)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模擬；不得外推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課後支持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12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4.08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10/12 (83.3%)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模擬；不得外推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需求—供給差距與待驗證優先序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候選需求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重要度依據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供給資訊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暫定判讀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下一項真實驗證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健康識讀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模擬平均分較高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師資及課程供給未查證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列入調查後討論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訪談目標學員並查核師資</w:t>
            </w:r>
          </w:p>
        </w:tc>
      </w:tr>
      <w:tr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自我照護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模擬回覆顯示有興趣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教材與法規界線待審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先確認範圍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由專業人員審視教材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操作安全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高分回覆僅屬模擬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場地與設備未查證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不能推定可實作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完成安全評估後再決策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I01-E02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目標市場需求調查。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本文件第0005號；原始來源與附件以核實後登錄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關聯要求參照：I02,I03,I05；本文件不替代其專屬紀錄。</w:t>
      </w:r>
    </w:p>
    <w:p>
      <w:pPr>
        <w:pStyle w:val="Heading2"/>
        <w:keepNext/>
      </w:pPr>
      <w:r>
        <w:t>調查目的與決策用途</w:t>
      </w:r>
    </w:p>
    <w:p>
      <w:r>
        <w:t>每一題都要支援至少一項課程選擇、服務方式或學習支持決策；純背景題若無分析用途應刪除，避免收集無關個資。</w:t>
      </w:r>
    </w:p>
    <w:p>
      <w:pPr>
        <w:pStyle w:val="Heading2"/>
        <w:keepNext/>
      </w:pPr>
      <w:r>
        <w:t>I01-E02官方要求的直接回應與適用情境</w:t>
      </w:r>
    </w:p>
    <w:p>
      <w:r>
        <w:t>本節逐字對應官方查核佐證資料表第 1 頁要求：「目標市場需求調查。」。本文件僅提供該項要求所需的文件工作稿與追溯欄位。</w:t>
      </w:r>
    </w:p>
    <w:p>
      <w:pPr>
        <w:pStyle w:val="Heading2"/>
        <w:keepNext/>
      </w:pPr>
      <w:r>
        <w:t>母體/對象與抽樣</w:t>
      </w:r>
    </w:p>
    <w:p>
      <w:r>
        <w:t>正式樣本須明確界定符合條件的對象、邀請管道、抽樣方式、重複回覆處理及未回覆偏差；不同群體分開呈現，避免把便利樣本說成全體市場。</w:t>
      </w:r>
    </w:p>
    <w:p>
      <w:pPr>
        <w:pStyle w:val="Heading2"/>
        <w:keepNext/>
      </w:pPr>
      <w:r>
        <w:t>問卷與量尺</w:t>
      </w:r>
    </w:p>
    <w:p>
      <w:r>
        <w:t>量尺應在問卷首頁說明方向與端點，另提供不適用及不確定選項；開放題以匿名方式編碼，避免出現姓名、病史或可辨識個案資料。</w:t>
      </w:r>
    </w:p>
    <w:p>
      <w:pPr>
        <w:pStyle w:val="Heading2"/>
        <w:keepNext/>
      </w:pPr>
      <w:r>
        <w:t>執行期間與管道</w:t>
      </w:r>
    </w:p>
    <w:p>
      <w:r>
        <w:t>正式執行表記錄版次、起迄日、邀請數、回收數、有效數、承辦角色、回覆渠道及原始檔位置；沒有實際執行的項目保持未執行，不倒填日期。</w:t>
      </w:r>
    </w:p>
    <w:p>
      <w:pPr>
        <w:pStyle w:val="Heading2"/>
        <w:keepNext/>
      </w:pPr>
      <w:r>
        <w:t>回收/缺失資料處理</w:t>
      </w:r>
    </w:p>
    <w:p>
      <w:r>
        <w:t>有效率以有效份數除以回收份數計算，並同時報告無效及未答題數；不得以平均值代填缺答。需要排除資料時須留存排除條件與筆數。</w:t>
      </w:r>
    </w:p>
    <w:p>
      <w:pPr>
        <w:pStyle w:val="Heading2"/>
        <w:keepNext/>
      </w:pPr>
      <w:r>
        <w:t>結果統計</w:t>
      </w:r>
    </w:p>
    <w:p>
      <w:r>
        <w:t>平均數只用於適當量尺；比例須列明分母。報告應保留各題有效樣本數、分布及極端回覆，不只呈現摘要平均。</w:t>
      </w:r>
    </w:p>
    <w:p>
      <w:pPr>
        <w:pStyle w:val="Heading2"/>
        <w:keepNext/>
      </w:pPr>
      <w:r>
        <w:t>分群與需求優先度</w:t>
      </w:r>
    </w:p>
    <w:p>
      <w:r>
        <w:t>需求優先排序需同時看重要度、急迫度、可行性及供給缺口；任何模擬排序都不等於實際市場偏好或協會已承諾開課。</w:t>
      </w:r>
    </w:p>
    <w:p>
      <w:pPr>
        <w:pStyle w:val="Heading2"/>
        <w:keepNext/>
      </w:pPr>
      <w:r>
        <w:t>洞察與課程決策</w:t>
      </w:r>
    </w:p>
    <w:p>
      <w:r>
        <w:t>提案需經需求、師資資格、教材安全、場地設備、法規範圍與成本審查；未通過門檻時記錄暫緩原因及補件責任，不以需求高分直接開課。</w:t>
      </w:r>
    </w:p>
    <w:p>
      <w:pPr>
        <w:pStyle w:val="Heading2"/>
        <w:keepNext/>
      </w:pPr>
      <w:r>
        <w:t>後續驗證</w:t>
      </w:r>
    </w:p>
    <w:p>
      <w:r>
        <w:t>提案需經需求、師資資格、教材安全、場地設備、法規範圍與成本審查；未通過門檻時記錄暫緩原因及補件責任，不以需求高分直接開課。</w:t>
      </w:r>
    </w:p>
    <w:p>
      <w:pPr>
        <w:pStyle w:val="Heading2"/>
        <w:keepNext/>
      </w:pPr>
      <w:r>
        <w:t>I01-E02真實升格檢核與替換清單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