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訓練評估與實施標準化作業程序SOP</w:t>
      </w:r>
    </w:p>
    <w:p>
      <w:pPr>
        <w:jc w:val="center"/>
      </w:pPr>
      <w:r>
        <w:rPr>
          <w:b/>
          <w:color w:val="1F4E79"/>
        </w:rPr>
        <w:t>I04-E04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2541"/>
          </w:tcPr>
          <w:p>
            <w:r>
              <w:t>0025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2541"/>
          </w:tcPr>
          <w:p>
            <w:r>
              <w:t>4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2541"/>
          </w:tcPr>
          <w:p>
            <w:r>
              <w:t>I04-E04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2541"/>
          </w:tcPr>
          <w:p>
            <w:r>
              <w:t>2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2541"/>
          </w:tcPr>
          <w:p>
            <w:r>
              <w:t>R1／草案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2541"/>
          </w:tcPr>
          <w:p>
            <w:r>
              <w:t>2026-09-25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2541"/>
          </w:tcPr>
          <w:p>
            <w:r>
              <w:t>待協會指派／待核定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2541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2 頁「訓練結果的評估、訓練實施的依據及標準化作業流程（SOP）。」。其文件類型為：標準作業程序與受控紀錄｜訓練結果的評估、訓練實施的依據及標準化作業流程(SOP)。本件只回應此一證據用途；關聯文件以序號交叉引用，不重複主張其他指標的事實。</w:t>
      </w:r>
    </w:p>
    <w:p>
      <w:pPr>
        <w:pStyle w:val="Heading1"/>
        <w:keepNext/>
      </w:pPr>
      <w:r>
        <w:t>目的與範圍</w:t>
      </w:r>
    </w:p>
    <w:p>
      <w:pPr>
        <w:spacing w:after="100"/>
      </w:pPr>
      <w:r>
        <w:t>適用於協會規劃或實施的課程；涵蓋訓練需求、課程設計、招生遴選、教學、評量、課後檢討及改善紀錄。特定課程若涉及法定資格、保險或場地安全，另須遵循相應規定。</w:t>
      </w:r>
    </w:p>
    <w:p>
      <w:pPr>
        <w:pStyle w:val="Heading1"/>
        <w:keepNext/>
      </w:pPr>
      <w:r>
        <w:t>角色與RACI</w:t>
      </w:r>
    </w:p>
    <w:p>
      <w:pPr>
        <w:spacing w:after="100"/>
      </w:pPr>
      <w:r>
        <w:t>承辦提出資料並維持版本；講師確認教學及評量適切性；行政確認場地、通知和紀錄；權責主管核定資源及例外。姓名、代理人、授權層級應由協會正式指定。</w:t>
      </w:r>
    </w:p>
    <w:p>
      <w:pPr>
        <w:pStyle w:val="Heading1"/>
        <w:keepNext/>
      </w:pPr>
      <w:r>
        <w:t>判斷分支</w:t>
      </w:r>
    </w:p>
    <w:p>
      <w:pPr>
        <w:spacing w:after="100"/>
      </w:pPr>
      <w:r>
        <w:t>需求不明或目標不可評量：退回補正。師資、教材、設備或法規條件未確認：不得排定實施。評量未達預先核定門檻：記錄差距、提出改善並安排追蹤。發生安全或個資事件：立即停止相關活動、保全紀錄並升級處理。</w:t>
      </w:r>
    </w:p>
    <w:p>
      <w:pPr>
        <w:pStyle w:val="Heading1"/>
        <w:keepNext/>
      </w:pPr>
      <w:r>
        <w:t>訓練評估與實施控制流程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步驟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責任角色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輸入／動作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判斷與控制點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輸出紀錄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需求確認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承辦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需求來源、服務對象、目標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需求可追溯；個資最小化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需求評估表</w:t>
            </w:r>
          </w:p>
        </w:tc>
      </w:tr>
      <w:tr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方案設計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承辦＋講師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目標、單元、教法、評量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目標可觀察且與內容一致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課程規劃書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資源確認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行政＋權責主管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師資、教材、場地、預算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法規、安全及授權均確認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資源檢核表</w:t>
            </w:r>
          </w:p>
        </w:tc>
      </w:tr>
      <w:tr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核定排程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權責主管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完整規劃包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授權不足或欄位缺漏則退回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核定／退回紀錄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招生與遴選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承辦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公告條件、報名資料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公平、符合目標、不過度蒐資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遴選名冊及通知</w:t>
            </w:r>
          </w:p>
        </w:tc>
      </w:tr>
      <w:tr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執行與評量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講師＋行政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核定教案、簽到、工具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安全異常立即停止並通報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教學與評量紀錄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檢討與改善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承辦＋主管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回饋、評量、異常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結論須有原始資料支持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結案及改善追蹤</w:t>
            </w:r>
          </w:p>
        </w:tc>
      </w:tr>
      <w:tr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歸檔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文件管理角色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核定版及原始紀錄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版本、權限、保存期限可查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索引與異動紀錄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例外處理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情境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立即處置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升級對象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復原條件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紀錄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需求不足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退回補充，不排課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訓練負責主管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需求及目標可追溯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退補通知</w:t>
            </w:r>
          </w:p>
        </w:tc>
      </w:tr>
      <w:tr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資格／安全不符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停止遴選或實施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協會授權主管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資格與安全證據完成核對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檢核單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評量缺失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保留原始表、標記缺件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承辦主管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補測或替代方式經核定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差異單</w:t>
            </w:r>
          </w:p>
        </w:tc>
      </w:tr>
      <w:tr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個資事件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限制存取並依規定處理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個資權責人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風險處置及通知完成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事件紀錄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I04-E04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訓練結果的評估、訓練實施的依據及標準化作業流程（SOP）。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本文件第0025號；原始來源與附件以核實後登錄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關聯要求參照：I03,I14,I16；本文件不替代其專屬紀錄。</w:t>
      </w:r>
    </w:p>
    <w:p>
      <w:pPr>
        <w:pStyle w:val="Heading2"/>
        <w:keepNext/>
      </w:pPr>
      <w:r>
        <w:t>目的與適用範圍</w:t>
      </w:r>
    </w:p>
    <w:p>
      <w:r>
        <w:t>作業採「提出需求—確認範圍—設計或選擇—檢核條件—權責覆核—執行—留存—定期改善」閉環。每一步均指定輸入、責任角色、判斷依據、控制點、輸出紀錄及異常升級路徑。</w:t>
      </w:r>
    </w:p>
    <w:p>
      <w:pPr>
        <w:pStyle w:val="Heading2"/>
        <w:keepNext/>
      </w:pPr>
      <w:r>
        <w:t>I04-E04官方要求的直接回應與適用情境</w:t>
      </w:r>
    </w:p>
    <w:p>
      <w:r>
        <w:t>本節逐字對應官方查核佐證資料表第 2 頁要求：「訓練結果的評估、訓練實施的依據及標準化作業流程（SOP）。」。本文件僅提供該項要求所需的文件工作稿與追溯欄位。</w:t>
      </w:r>
    </w:p>
    <w:p>
      <w:pPr>
        <w:pStyle w:val="Heading2"/>
        <w:keepNext/>
      </w:pPr>
      <w:r>
        <w:t>輸入/觸發條件</w:t>
      </w:r>
    </w:p>
    <w:p>
      <w:r>
        <w:t>作業採「提出需求—確認範圍—設計或選擇—檢核條件—權責覆核—執行—留存—定期改善」閉環。每一步均指定輸入、責任角色、判斷依據、控制點、輸出紀錄及異常升級路徑。</w:t>
      </w:r>
    </w:p>
    <w:p>
      <w:pPr>
        <w:pStyle w:val="Heading2"/>
        <w:keepNext/>
      </w:pPr>
      <w:r>
        <w:t>逐步流程</w:t>
      </w:r>
    </w:p>
    <w:p>
      <w:r>
        <w:t>作業採「提出需求—確認範圍—設計或選擇—檢核條件—權責覆核—執行—留存—定期改善」閉環。每一步均指定輸入、責任角色、判斷依據、控制點、輸出紀錄及異常升級路徑。</w:t>
      </w:r>
    </w:p>
    <w:p>
      <w:pPr>
        <w:pStyle w:val="Heading2"/>
        <w:keepNext/>
      </w:pPr>
      <w:r>
        <w:t>控制點與門檻</w:t>
      </w:r>
    </w:p>
    <w:p>
      <w:r>
        <w:t>作業採「提出需求—確認範圍—設計或選擇—檢核條件—權責覆核—執行—留存—定期改善」閉環。每一步均指定輸入、責任角色、判斷依據、控制點、輸出紀錄及異常升級路徑。</w:t>
      </w:r>
    </w:p>
    <w:p>
      <w:pPr>
        <w:pStyle w:val="Heading2"/>
        <w:keepNext/>
      </w:pPr>
      <w:r>
        <w:t>例外/異常處理</w:t>
      </w:r>
    </w:p>
    <w:p>
      <w:r>
        <w:t>主要控制是先核對需求與可用來源，再依「訓練結果的評估、訓練實施的依據及標準化作業流程（SOP）。」的證明目的決定是否適用。來源不足、資料不一致、個資未授權或超出健康教育及傳統整復推拿技術範圍時，暫停引用、記錄差異並交權責人判定。</w:t>
      </w:r>
    </w:p>
    <w:p>
      <w:pPr>
        <w:pStyle w:val="Heading2"/>
        <w:keepNext/>
      </w:pPr>
      <w:r>
        <w:t>輸出與紀錄</w:t>
      </w:r>
    </w:p>
    <w:p>
      <w:r>
        <w:t>作業採「提出需求—確認範圍—設計或選擇—檢核條件—權責覆核—執行—留存—定期改善」閉環。每一步均指定輸入、責任角色、判斷依據、控制點、輸出紀錄及異常升級路徑。</w:t>
      </w:r>
    </w:p>
    <w:p>
      <w:pPr>
        <w:pStyle w:val="Heading2"/>
        <w:keepNext/>
      </w:pPr>
      <w:r>
        <w:t>表單/系統欄位</w:t>
      </w:r>
    </w:p>
    <w:p>
      <w:r>
        <w:t>作業採「提出需求—確認範圍—設計或選擇—檢核條件—權責覆核—執行—留存—定期改善」閉環。每一步均指定輸入、責任角色、判斷依據、控制點、輸出紀錄及異常升級路徑。</w:t>
      </w:r>
    </w:p>
    <w:p>
      <w:pPr>
        <w:pStyle w:val="Heading2"/>
        <w:keepNext/>
      </w:pPr>
      <w:r>
        <w:t>KPI與稽核</w:t>
      </w:r>
    </w:p>
    <w:p>
      <w:r>
        <w:t>作業採「提出需求—確認範圍—設計或選擇—檢核條件—權責覆核—執行—留存—定期改善」閉環。每一步均指定輸入、責任角色、判斷依據、控制點、輸出紀錄及異常升級路徑。</w:t>
      </w:r>
    </w:p>
    <w:p>
      <w:pPr>
        <w:pStyle w:val="Heading2"/>
        <w:keepNext/>
      </w:pPr>
      <w:r>
        <w:t>版本/核准</w:t>
      </w:r>
    </w:p>
    <w:p>
      <w:r>
        <w:t>版本狀態為 R1 草案。編製、覆核、核定、公告與保存責任須由協會指定；核定前不得標示為正式制度或已公告版本。修訂應記錄變更原因、受影響表單、通知對象、生效日與舊版回收位置。</w:t>
      </w:r>
    </w:p>
    <w:p>
      <w:pPr>
        <w:pStyle w:val="Heading2"/>
        <w:keepNext/>
      </w:pPr>
      <w:r>
        <w:t>I04-E04真實升格檢核與替換清單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