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80" w:after="20"/>
      </w:pPr>
      <w:r>
        <w:rPr>
          <w:rFonts w:ascii="Microsoft JhengHei" w:hAnsi="Microsoft JhengHei" w:eastAsia="Microsoft JhengHei"/>
          <w:b/>
          <w:color w:val="284B63"/>
          <w:sz w:val="42"/>
        </w:rPr>
        <w:t>訓練評估與實施標準化作業程序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20"/>
        </w:rPr>
        <w:t>需求轉化、核准前檢核、依版次實施、結果評估與受控紀錄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 w:val="true"/>
          <w:cantSplit/>
        </w:trPr>
        <w:tc>
          <w:tcPr>
            <w:tcW w:type="dxa" w:w="5227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文件識別</w:t>
            </w:r>
          </w:p>
        </w:tc>
        <w:tc>
          <w:tcPr>
            <w:tcW w:type="dxa" w:w="5227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狀態與使用限制</w:t>
            </w:r>
          </w:p>
        </w:tc>
      </w:tr>
      <w:tr>
        <w:trPr>
          <w:cantSplit/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文件代碼 0025｜需求 I04-E04｜版本 R05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DRAFT_SYNTHETIC｜尚未核定、生效或公告</w:t>
            </w:r>
          </w:p>
        </w:tc>
      </w:tr>
      <w:tr>
        <w:trPr>
          <w:cantSplit/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適用方向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健康教育及傳統整復推拿技術；其他課程依實際市場需求逐案評估</w:t>
            </w:r>
          </w:p>
        </w:tc>
      </w:tr>
      <w:tr>
        <w:trPr>
          <w:cantSplit/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正式採用前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WAITING_FOR_ORIGINAL｜以核定原件填入權責、日期、課程、工具、門檻及保存位置</w:t>
            </w:r>
          </w:p>
        </w:tc>
      </w:tr>
    </w:tbl>
    <w:p>
      <w:pPr>
        <w:pStyle w:val="Heading1"/>
        <w:widowControl/>
      </w:pPr>
      <w:r>
        <w:t>1 目的與適用範圍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8"/>
        </w:rPr>
        <w:t>本程序把訓練需求、課程規劃、實施依據、結果評估、異常處理及文件控制連成可查核流程，供協會審議後作為工作稿。適用於規劃中的健康教育、傳統整復推拿技術及依市場需求評估的其他課程。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8"/>
        </w:rPr>
        <w:t>本文件不證明協會目前已核定課程、辦訓、配置人員或取得成效；未取得的原始資料均維持 WAITING_FOR_ORIGINAL。不得以空白模板、提案或計算示例取代真實簽核、學員、實施及結果紀錄。</w:t>
      </w:r>
    </w:p>
    <w:p>
      <w:pPr>
        <w:pStyle w:val="Heading1"/>
        <w:widowControl/>
      </w:pPr>
      <w:r>
        <w:t>2 官方要求的直接回應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8"/>
        </w:rPr>
        <w:t>官方方框要求：「訓練結果的評估、訓練實施的依據及標準化作業流程（SOP）。」本程序以需求與來源、計畫及核准、版次實施、評估計算、異常改善、紀錄保存及正式採用前檢核逐項回應。</w:t>
      </w:r>
    </w:p>
    <w:p>
      <w:pPr>
        <w:pStyle w:val="Heading2"/>
        <w:widowControl/>
      </w:pPr>
      <w:r>
        <w:t>圖 1｜訓練需求至結案流程（含判斷節點）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232"/>
        <w:gridCol w:w="2376"/>
        <w:gridCol w:w="1872"/>
        <w:gridCol w:w="1656"/>
      </w:tblGrid>
      <w:tr>
        <w:trPr>
          <w:tblHeader w:val="true"/>
          <w:cantSplit/>
        </w:trPr>
        <w:tc>
          <w:tcPr>
            <w:tcW w:type="dxa" w:w="2091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需求與來源</w:t>
            </w:r>
          </w:p>
        </w:tc>
        <w:tc>
          <w:tcPr>
            <w:tcW w:type="dxa" w:w="2091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規劃及評估設計</w:t>
            </w:r>
          </w:p>
        </w:tc>
        <w:tc>
          <w:tcPr>
            <w:tcW w:type="dxa" w:w="2091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判斷／控制點</w:t>
            </w:r>
          </w:p>
        </w:tc>
        <w:tc>
          <w:tcPr>
            <w:tcW w:type="dxa" w:w="2091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授權後實施</w:t>
            </w:r>
          </w:p>
        </w:tc>
        <w:tc>
          <w:tcPr>
            <w:tcW w:type="dxa" w:w="2091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評估、改善與歸檔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提出需求</w:t>
              <w:br/>
              <w:t>附原始依據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確認對象、目標、資源、方法及指標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原件、授權、安全及門檻是否齊備？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按已核准版次執行並留存原始紀錄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覆核結果；異常暫停、升級、改善及結案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判斷為否：退回補件或暫停，不得進入正式實施；判斷為是：依核准條件放行。核准角色、期限與保管路徑均待協會原件確認。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3 建議角色、責任與分工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8"/>
        </w:rPr>
        <w:t>下列為功能角色範本，不代表現行組織職務或人員。正式採用前，須依章程、有效授權文件及實際人力逐項核定並登錄。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680"/>
        <w:gridCol w:w="3240"/>
      </w:tblGrid>
      <w:tr>
        <w:trPr>
          <w:tblHeader w:val="true"/>
          <w:cantSplit/>
        </w:trPr>
        <w:tc>
          <w:tcPr>
            <w:tcW w:type="dxa" w:w="3485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建議功能角色</w:t>
            </w:r>
          </w:p>
        </w:tc>
        <w:tc>
          <w:tcPr>
            <w:tcW w:type="dxa" w:w="3485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主要責任</w:t>
            </w:r>
          </w:p>
        </w:tc>
        <w:tc>
          <w:tcPr>
            <w:tcW w:type="dxa" w:w="3485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應留存紀錄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需求提出者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說明對象、需求、來源、目標及限制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需求單、來源原件位置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程序承辦人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建檔、核對欄位、追蹤待補項及版本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受控案號、收件與追蹤紀錄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課程／評估設計者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提出課程、教材、方法、工具及指標草案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計畫與評估工具草案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獨立覆核者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檢查來源、目標對應、計算、風險及利益衝突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覆核意見、修訂軌跡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核准權責角色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按有效授權作成核准、退回或暫停決定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核准原件、條件與日期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實施及紀錄保管者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依核准版次執行、收集原始資料與受控保存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實施、評估及檔案索引</w:t>
            </w:r>
          </w:p>
        </w:tc>
      </w:tr>
    </w:tbl>
    <w:p>
      <w:pPr>
        <w:pStyle w:val="Heading2"/>
        <w:widowControl/>
      </w:pPr>
      <w:r>
        <w:t>3.1 建議 RACI 分工（合成提案，待核）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944"/>
        <w:gridCol w:w="2016"/>
        <w:gridCol w:w="2088"/>
        <w:gridCol w:w="1584"/>
      </w:tblGrid>
      <w:tr>
        <w:trPr>
          <w:tblHeader w:val="true"/>
          <w:cantSplit/>
        </w:trPr>
        <w:tc>
          <w:tcPr>
            <w:tcW w:type="dxa" w:w="2091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活動</w:t>
            </w:r>
          </w:p>
        </w:tc>
        <w:tc>
          <w:tcPr>
            <w:tcW w:type="dxa" w:w="2091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R 執行</w:t>
            </w:r>
          </w:p>
        </w:tc>
        <w:tc>
          <w:tcPr>
            <w:tcW w:type="dxa" w:w="2091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A 最終負責</w:t>
            </w:r>
          </w:p>
        </w:tc>
        <w:tc>
          <w:tcPr>
            <w:tcW w:type="dxa" w:w="2091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 諮詢</w:t>
            </w:r>
          </w:p>
        </w:tc>
        <w:tc>
          <w:tcPr>
            <w:tcW w:type="dxa" w:w="2091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I 知會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需求及來源確認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需求提出者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待授權角色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程序承辦人、設計者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相關人員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計畫與評估工具設計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設計者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待授權角色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覆核者、需求提出者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實施人員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獨立覆核與放行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覆核者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待授權角色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設計者、程序承辦人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實施人員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依版次實施與評估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實施人員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待授權角色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設計者、紀錄保管者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程序承辦人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異常處理及改善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程序承辦人、實施人員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待授權角色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覆核者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需求提出者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文件公告、更新及保存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紀錄保管者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待授權角色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程序承辦人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適用人員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RACI 中的角色配置只供協會審議；不得據此宣稱現有人員已受任或具核准權。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4 輸入、觸發條件與開始前檢核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00"/>
        <w:gridCol w:w="2592"/>
        <w:gridCol w:w="1944"/>
      </w:tblGrid>
      <w:tr>
        <w:trPr>
          <w:tblHeader w:val="true"/>
          <w:cantSplit/>
        </w:trPr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輸入／條件</w:t>
            </w:r>
          </w:p>
        </w:tc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檢核要求</w:t>
            </w:r>
          </w:p>
        </w:tc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未齊備時處理</w:t>
            </w:r>
          </w:p>
        </w:tc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留存證據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需求與來源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對象、問題、來源日期、範圍及原件可追溯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標示待補並退回釐清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需求與來源登錄表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課程計畫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目標、內容、教材、師資、場地、資源及安全條件逐項核對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未核定前不得列為正式課程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計畫及核准版本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評估設計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指標、工具版次、題目／量表、分子分母、樣本及限制明確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工具不適用或未授權時暫停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評估設計與覆核紀錄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授權與個資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角色權限、告知同意、資料最小化、存取及保存條件符合規範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先停用相關資料或活動並升級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授權／告知原件及存取紀錄</w:t>
            </w:r>
          </w:p>
        </w:tc>
      </w:tr>
    </w:tbl>
    <w:p>
      <w:pPr>
        <w:pStyle w:val="Heading1"/>
        <w:widowControl/>
      </w:pPr>
      <w:r>
        <w:t>5 標準作業步驟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8"/>
        </w:rPr>
        <w:t>程序承辦人應依序確認每個放行點；必要原件缺漏、未授權、工具失效或安全條件不明時，不得跳步。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3960"/>
        <w:gridCol w:w="2304"/>
      </w:tblGrid>
      <w:tr>
        <w:trPr>
          <w:tblHeader w:val="true"/>
          <w:cantSplit/>
        </w:trPr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步驟／建議角色</w:t>
            </w:r>
          </w:p>
        </w:tc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輸入</w:t>
            </w:r>
          </w:p>
        </w:tc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動作與判斷／控制點</w:t>
            </w:r>
          </w:p>
        </w:tc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輸出及紀錄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5.1 登錄需求</w:t>
              <w:br/>
              <w:t>需求提出者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需求說明及來源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確認對象、範圍、期待能力與限制；來源不可驗證時標待補。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需求案號、原件位置、待補清單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5.2 設計計畫</w:t>
              <w:br/>
              <w:t>設計者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核實需求、資源條件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連結目標、內容、教材、場地、安全與評估方法；不得以假設當現況。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計畫草案、資源檢核、評估設計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5.3 覆核</w:t>
              <w:br/>
              <w:t>獨立覆核者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計畫、工具及來源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查核目標對應、工具效度適用性、分子分母、樣本、權益與偏差。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覆核清單、意見與修訂差異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5.4 核准放行</w:t>
              <w:br/>
              <w:t>授權角色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完整覆核包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確認有效授權、版本、適用條件及生效日；核准前不得宣稱正式採用。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簽核原件、放行條件及版本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5.5 依版實施</w:t>
              <w:br/>
              <w:t>實施人員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有效核准版及通知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依版本執行；記錄真實日期、出席、工具版次、偏差與原始結果。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實施紀錄、原始資料與附件索引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5.6 評估覆核</w:t>
              <w:br/>
              <w:t>評估者／覆核者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原始資料與核准口徑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依本程序第 6 節計算；缺值、樣本不足或分母為零須明列限制。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計算表、判讀、差異與覆核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5.7 改善結案</w:t>
              <w:br/>
              <w:t>程序承辦人／授權角色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異常與評估結果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指定責任、期限與驗證證據；未驗證不得標結案或宣稱有效。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改善追蹤、結案依據、版本更新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6 訓練結果評估與計算口徑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8"/>
        </w:rPr>
        <w:t>每案於核准前先定義評估對象、工具、樣本、分母、缺值規則、覆核者及判讀限制。知識、操作技能、課程回饋或後續應用均為可評估面向的提案；是否採用及門檻須逐案核定，不代表協會現行工具。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232"/>
        <w:gridCol w:w="3096"/>
        <w:gridCol w:w="2664"/>
      </w:tblGrid>
      <w:tr>
        <w:trPr>
          <w:tblHeader w:val="true"/>
          <w:cantSplit/>
        </w:trPr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指標（依 I04-E04）</w:t>
            </w:r>
          </w:p>
        </w:tc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公式／分母</w:t>
            </w:r>
          </w:p>
        </w:tc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必要原始資料</w:t>
            </w:r>
          </w:p>
        </w:tc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計算及判讀控制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流程準時率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期限內完成件數 ÷ 總件數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案件清單、核准期限、完成時間及排除原因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同一期間與案件口徑；分母為零記「不適用」，不得記 100%。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異常結案率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已驗證結案件數 ÷ 異常件數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異常登錄、處置證據、覆核與結案日期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須有驗證結論；分母為零記「不適用」；未驗證不得列入分子。</w:t>
            </w:r>
          </w:p>
        </w:tc>
      </w:tr>
    </w:tbl>
    <w:p>
      <w:pPr>
        <w:pStyle w:val="Heading2"/>
        <w:widowControl/>
      </w:pPr>
      <w:r>
        <w:t>6.1 評估工具與證據品質控制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608"/>
        <w:gridCol w:w="3528"/>
      </w:tblGrid>
      <w:tr>
        <w:trPr>
          <w:tblHeader w:val="true"/>
          <w:cantSplit/>
        </w:trPr>
        <w:tc>
          <w:tcPr>
            <w:tcW w:type="dxa" w:w="3485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控制項</w:t>
            </w:r>
          </w:p>
        </w:tc>
        <w:tc>
          <w:tcPr>
            <w:tcW w:type="dxa" w:w="3485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核對問題</w:t>
            </w:r>
          </w:p>
        </w:tc>
        <w:tc>
          <w:tcPr>
            <w:tcW w:type="dxa" w:w="3485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不符合處置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目標對應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每一題目、觀察項或指標是否對應核准目標？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刪修未對應項並保存差異。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工具一致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版本、題意、尺度、計分及評分者規則是否明確？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暫停使用；覆核修正及試用紀錄。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樣本與缺值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納入／排除條件、缺席、無效資料及回收率是否分列？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保留原始筆數與排除原因，不補造。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公平、安全與隱私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告知、同意、操作安全及資料存取是否適當？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停止不當收集或活動並依權限升級。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獨立覆核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計算、公式、結果與限制是否由適當覆核者確認？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退回重算，保留更正前後版本。</w:t>
            </w:r>
          </w:p>
        </w:tc>
      </w:tr>
    </w:tbl>
    <w:p>
      <w:pPr>
        <w:pStyle w:val="Heading2"/>
        <w:widowControl/>
      </w:pPr>
      <w:r>
        <w:t>6.2 計算紀錄欄位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案件／期間｜核准工具與版次｜適用母體｜納入件數｜排除及缺值｜分子｜分母｜公式｜計算者／日期｜覆核者／日期｜結果｜限制與判讀｜原始資料位置｜核定目標／門檻。實際數值未取得時維持 WAITING_FOR_ORIGINAL；不得用示範值代替。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7 例外、異常與風險升級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376"/>
        <w:gridCol w:w="3168"/>
        <w:gridCol w:w="2376"/>
      </w:tblGrid>
      <w:tr>
        <w:trPr>
          <w:tblHeader w:val="true"/>
          <w:cantSplit/>
        </w:trPr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例外情境</w:t>
            </w:r>
          </w:p>
        </w:tc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立即控制</w:t>
            </w:r>
          </w:p>
        </w:tc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升級及決策</w:t>
            </w:r>
          </w:p>
        </w:tc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結案證據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來源不明或需求不清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暫停進入計畫放行；標記待補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交需求權責角色確認範圍及時限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核實原件、補件差異及覆核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授權缺漏、版本錯誤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停止實施或撤下錯版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交核准權責角色決定重審、撤回或重發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有效核准件、通知及回收紀錄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安全、個資或權益疑慮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停止相關活動／資料處理，保全必要紀錄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依有效規章立即交適當權責角色處置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事實、處置、通知、權限及覆核證據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工具失效、計算矛盾或缺值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凍結結論；保留原始資料與版本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由設計者及覆核者查明並核定重算或不適用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差異、重算、限制及覆核紀錄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改善逾期或效果未驗證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維持未結案並列追蹤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交授權角色決定展延、加強或重開案件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期限決議、驗證資料及結案依據</w:t>
            </w:r>
          </w:p>
        </w:tc>
      </w:tr>
    </w:tbl>
    <w:p>
      <w:pPr>
        <w:pStyle w:val="Heading1"/>
        <w:widowControl/>
      </w:pPr>
      <w:r>
        <w:t>8 可直接使用的受控紀錄欄位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8"/>
        </w:rPr>
        <w:t>下列為空白記錄格式；每案按授權規則建立受控副本，原始附件須可追溯。實際案號、姓名、日期、課程、數字及文件位置未提供，均待原件填入。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632"/>
      </w:tblGrid>
      <w:tr>
        <w:trPr>
          <w:tblHeader w:val="true"/>
          <w:cantSplit/>
        </w:trPr>
        <w:tc>
          <w:tcPr>
            <w:tcW w:type="dxa" w:w="5227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紀錄／表單</w:t>
            </w:r>
          </w:p>
        </w:tc>
        <w:tc>
          <w:tcPr>
            <w:tcW w:type="dxa" w:w="5227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必要欄位（未取得時填 WAITING_FOR_ORIGINAL）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需求與來源登錄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案號｜需求對象｜問題／期望能力｜來源名稱、日期及原件位置｜調查範圍｜待補責任與期限｜覆核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課程計畫與核准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目標｜對象｜內容｜師資／資格｜教材版次｜場地／安全｜資源｜評估方式｜版本｜核准條件／原件位置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實施及結果評估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實際日期｜核准版｜出席／樣本｜工具版次｜原始分數／觀察｜分子分母｜計算式｜缺值限制｜覆核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異常、改善及變更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事件事實｜即時控制｜升級對象｜責任角色｜期限｜處置證據｜驗證結果｜結案核准｜版本差異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文件公告與保存索引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文件代碼／版次｜核准及生效原件｜公告對象與日期｜舊版回收｜保存路徑／權限／期限｜備份及調閱紀錄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9 I04-E04 專屬要求追溯表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384"/>
        <w:gridCol w:w="2880"/>
        <w:gridCol w:w="1512"/>
      </w:tblGrid>
      <w:tr>
        <w:trPr>
          <w:tblHeader w:val="true"/>
          <w:cantSplit/>
        </w:trPr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官方要求／子項</w:t>
            </w:r>
          </w:p>
        </w:tc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本程序回應</w:t>
            </w:r>
          </w:p>
        </w:tc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核查原件與紀錄</w:t>
            </w:r>
          </w:p>
        </w:tc>
        <w:tc>
          <w:tcPr>
            <w:tcW w:type="dxa" w:w="2613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目前狀態／覆核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訓練實施的依據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第 4–5 節：需求來源、核准計畫、授權版次、開始條件及不得放行情況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需求及來源登錄、計畫、授權原件、實施紀錄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WAITING_FOR_ORIGINAL；待逐案核對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訓練結果的評估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第 6 節：工具品質、兩項指定公式、缺值／零分母及限制判讀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評估工具、原始資料、計算表、覆核及改善紀錄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WAITING_FOR_ORIGINAL；尚無實際結果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標準化作業流程（SOP）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第 1–8 節：角色、輸入、步驟、判斷、控制、異常及輸出紀錄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有效版次、作業紀錄、異常與變更軌跡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DRAFT_SYNTHETIC；尚未核准、公告或生效</w:t>
            </w:r>
          </w:p>
        </w:tc>
      </w:tr>
    </w:tbl>
    <w:p>
      <w:pPr>
        <w:pStyle w:val="Heading1"/>
        <w:widowControl/>
      </w:pPr>
      <w:r>
        <w:t>10 文件核准、公告、更新與保存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464"/>
        <w:gridCol w:w="3600"/>
      </w:tblGrid>
      <w:tr>
        <w:trPr>
          <w:tblHeader w:val="true"/>
          <w:cantSplit/>
        </w:trPr>
        <w:tc>
          <w:tcPr>
            <w:tcW w:type="dxa" w:w="3485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控制階段</w:t>
            </w:r>
          </w:p>
        </w:tc>
        <w:tc>
          <w:tcPr>
            <w:tcW w:type="dxa" w:w="3485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必要控制</w:t>
            </w:r>
          </w:p>
        </w:tc>
        <w:tc>
          <w:tcPr>
            <w:tcW w:type="dxa" w:w="3485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原始證據／欄位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草擬與覆核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標記版本、來源及修訂理由；具適當覆核與利益衝突檢查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草稿、覆核表、修訂差異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核准與生效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依有效授權取得簽核原件，明定適用範圍、生效日與條件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授權規章、簽核件、生效條件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公告與回收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公告正式版、對象與位置；停用舊版並保留可追溯紀錄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公告通知、收件／回收及版本清單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定期檢視與保存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依核定頻率或重大變更觸發覆核；設定權限、期限、備份與調閱方式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檢視紀錄、檔案索引、保存規則與備份紀錄</w:t>
            </w:r>
          </w:p>
        </w:tc>
      </w:tr>
    </w:tbl>
    <w:p>
      <w:pPr>
        <w:pStyle w:val="Heading1"/>
        <w:widowControl/>
      </w:pPr>
      <w:r>
        <w:t>11 正式採用前核實與人類決策清單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5256"/>
        <w:gridCol w:w="1440"/>
      </w:tblGrid>
      <w:tr>
        <w:trPr>
          <w:tblHeader w:val="true"/>
          <w:cantSplit/>
        </w:trPr>
        <w:tc>
          <w:tcPr>
            <w:tcW w:type="dxa" w:w="3485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待決問題／核實項</w:t>
            </w:r>
          </w:p>
        </w:tc>
        <w:tc>
          <w:tcPr>
            <w:tcW w:type="dxa" w:w="3485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正式採用前應取得的原件</w:t>
            </w:r>
          </w:p>
        </w:tc>
        <w:tc>
          <w:tcPr>
            <w:tcW w:type="dxa" w:w="3485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284B6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每一步由誰執行、覆核及核准？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有效組織／授權文件與真實姓名職務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何時不得往下走？哪些目標、工具與門檻適用？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核定課程計畫、評估工具、適用條件與目標值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異常如何升級、由誰決定、時限為何？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核定程序、權責、期限及實際升級紀錄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輸出證據放在哪裡、如何保存與調閱？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正式檔案路徑、權限、期限、備份及調閱規則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哪一段直接回應官方方框要求？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本程序第 4–10 節與逐案有效原件對照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待協會核實並覆核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正式採用前不得以本文代替協會核定。須逐項取得真實原件、完成權責與內容覆核、填妥附件位置並經有效授權核准；未取得之核定、簽章、實施、成效與第三方證明維持待補。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87785"/>
        <w:sz w:val="16"/>
      </w:rPr>
      <w:t xml:space="preserve">0025 R05｜訓練評估與實施 SOP｜頁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87785"/>
        <w:sz w:val="16"/>
      </w:rPr>
      <w:t>社團法人屏東縣原始點關懷協會｜I04-E04｜DRAFT_SYNTHETIC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Microsoft JhengHei" w:hAnsi="Microsoft JhengHei" w:eastAsia="Microsoft JhengHei"/>
      <w:color w:val="26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B6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B6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