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</w:pPr>
      <w:r>
        <w:rPr>
          <w:rFonts w:ascii="Microsoft JhengHei" w:hAnsi="Microsoft JhengHei" w:eastAsia="Microsoft JhengHei"/>
          <w:b/>
          <w:color w:val="284B63"/>
          <w:sz w:val="40"/>
        </w:rPr>
        <w:t>訓練評估與實施標準化作業程序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程序草案｜需求、訓練實施依據、成效判讀及受控紀錄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880"/>
        <w:gridCol w:w="6912"/>
      </w:tblGrid>
      <w:tr>
        <w:trPr>
          <w:tblHeader w:val="true"/>
          <w:cantSplit/>
          <w:cantSplit/>
        </w:trPr>
        <w:tc>
          <w:tcPr>
            <w:tcW w:type="dxa" w:w="2880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文件識別</w:t>
            </w:r>
          </w:p>
        </w:tc>
        <w:tc>
          <w:tcPr>
            <w:tcW w:type="dxa" w:w="691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狀態／適用界線</w:t>
            </w:r>
          </w:p>
        </w:tc>
      </w:tr>
      <w:tr>
        <w:trPr>
          <w:cantSplit/>
          <w:cantSplit/>
          <w:cantSplit/>
        </w:trPr>
        <w:tc>
          <w:tcPr>
            <w:tcW w:type="dxa" w:w="28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0025｜I04-E04｜R06</w:t>
            </w:r>
          </w:p>
        </w:tc>
        <w:tc>
          <w:tcPr>
            <w:tcW w:type="dxa" w:w="69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DRAFT_SYNTHETIC｜待協會審議及授權</w:t>
            </w:r>
          </w:p>
        </w:tc>
      </w:tr>
      <w:tr>
        <w:trPr>
          <w:cantSplit/>
          <w:cantSplit/>
          <w:cantSplit/>
        </w:trPr>
        <w:tc>
          <w:tcPr>
            <w:tcW w:type="dxa" w:w="28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核心方向</w:t>
            </w:r>
          </w:p>
        </w:tc>
        <w:tc>
          <w:tcPr>
            <w:tcW w:type="dxa" w:w="69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健康教育、傳統整復推拿技術；其他課程按可查核需求逐案評估</w:t>
            </w:r>
          </w:p>
        </w:tc>
      </w:tr>
      <w:tr>
        <w:trPr>
          <w:cantSplit/>
          <w:cantSplit/>
          <w:cantSplit/>
        </w:trPr>
        <w:tc>
          <w:tcPr>
            <w:tcW w:type="dxa" w:w="28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現況資料</w:t>
            </w:r>
          </w:p>
        </w:tc>
        <w:tc>
          <w:tcPr>
            <w:tcW w:type="dxa" w:w="69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WAITING_FOR_ORIGINAL｜不得推定已有核定課程、執行或成果</w:t>
            </w:r>
          </w:p>
        </w:tc>
      </w:tr>
    </w:tbl>
    <w:p>
      <w:pPr>
        <w:pStyle w:val="Heading1"/>
        <w:widowControl/>
      </w:pPr>
      <w:r>
        <w:t>1 目的、適用範圍與限制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本程序提供一套可查核的需求登錄、計畫核對、權責審查、核准放行、依版次實施、訓練結果評估、異常處理及文件保管流程。協會正式採用前，須依實際組織授權與原始資料逐項審定。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目前未取得協會核定的手冊、實際權責、課程、師資、班次、評估工具、實施及成效紀錄。本稿不代表現行制度，也不得作為已辦訓、已核准或取得成效的證明。</w:t>
      </w:r>
    </w:p>
    <w:p>
      <w:pPr>
        <w:pStyle w:val="Heading1"/>
        <w:widowControl/>
      </w:pPr>
      <w:r>
        <w:t>2 I04-E04 官方方框要求回應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要求文字：「訓練結果的評估、訓練實施的依據及標準化作業流程（SOP）。」第 3–8 節定義操作與評估控制，第 9 節逐項連結可查原件與紀錄，第 10–11 節規範文件控制及正式採用前核實。</w:t>
      </w:r>
    </w:p>
    <w:p>
      <w:pPr>
        <w:pStyle w:val="Heading2"/>
        <w:widowControl/>
      </w:pPr>
      <w:r>
        <w:t>圖 1｜需求到結案的判斷流程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12"/>
        <w:gridCol w:w="2088"/>
        <w:gridCol w:w="2520"/>
        <w:gridCol w:w="1512"/>
        <w:gridCol w:w="2376"/>
      </w:tblGrid>
      <w:tr>
        <w:trPr>
          <w:tblHeader w:val="true"/>
          <w:cantSplit/>
          <w:cantSplit/>
        </w:trPr>
        <w:tc>
          <w:tcPr>
            <w:tcW w:type="dxa" w:w="151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建案</w:t>
            </w:r>
          </w:p>
        </w:tc>
        <w:tc>
          <w:tcPr>
            <w:tcW w:type="dxa" w:w="2088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設計與覆核</w:t>
            </w:r>
          </w:p>
        </w:tc>
        <w:tc>
          <w:tcPr>
            <w:tcW w:type="dxa" w:w="2520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放行判斷</w:t>
            </w:r>
          </w:p>
        </w:tc>
        <w:tc>
          <w:tcPr>
            <w:tcW w:type="dxa" w:w="151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執行</w:t>
            </w:r>
          </w:p>
        </w:tc>
        <w:tc>
          <w:tcPr>
            <w:tcW w:type="dxa" w:w="2376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評估與關閉</w:t>
            </w:r>
          </w:p>
        </w:tc>
      </w:tr>
      <w:tr>
        <w:trPr>
          <w:cantSplit/>
          <w:cantSplit/>
          <w:cantSplit/>
        </w:trPr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登錄需求及來源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核目標、資源、工具與風險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原件／授權／安全條件是否完整？</w:t>
            </w:r>
          </w:p>
        </w:tc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依有效核准版次辦理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記錄結果；異常先控制再覆核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否：退回補件或暫停，未完成核准不得實施；是：按已核定範圍放行。判斷依據、決策權與期限須附真實原件。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 建議權責與 RACI 分工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以下角色均為功能提案，沒有指稱本會現有人員或職權。正式採用須依章程、有效授權與實際人力確認，並以真實姓名／職務及原件建立對照。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4896"/>
        <w:gridCol w:w="3024"/>
      </w:tblGrid>
      <w:tr>
        <w:trPr>
          <w:tblHeader w:val="true"/>
          <w:cantSplit/>
          <w:cantSplit/>
        </w:trPr>
        <w:tc>
          <w:tcPr>
            <w:tcW w:type="dxa" w:w="187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功能角色</w:t>
            </w:r>
          </w:p>
        </w:tc>
        <w:tc>
          <w:tcPr>
            <w:tcW w:type="dxa" w:w="4896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工作範圍</w:t>
            </w:r>
          </w:p>
        </w:tc>
        <w:tc>
          <w:tcPr>
            <w:tcW w:type="dxa" w:w="3024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主要紀錄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需求提出</w:t>
            </w:r>
          </w:p>
        </w:tc>
        <w:tc>
          <w:tcPr>
            <w:tcW w:type="dxa" w:w="48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交代對象、需求、依據與限制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來源及需求表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程序承辦</w:t>
            </w:r>
          </w:p>
        </w:tc>
        <w:tc>
          <w:tcPr>
            <w:tcW w:type="dxa" w:w="48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登案、檢欄、催補、版本管理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受控案號及追蹤表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課程設計</w:t>
            </w:r>
          </w:p>
        </w:tc>
        <w:tc>
          <w:tcPr>
            <w:tcW w:type="dxa" w:w="48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提出目標、內容、方法、資源與工具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課程及評估草案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獨立覆核</w:t>
            </w:r>
          </w:p>
        </w:tc>
        <w:tc>
          <w:tcPr>
            <w:tcW w:type="dxa" w:w="48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檢查來源、適切性、計算與權益風險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覆核清單與差異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授權核准</w:t>
            </w:r>
          </w:p>
        </w:tc>
        <w:tc>
          <w:tcPr>
            <w:tcW w:type="dxa" w:w="48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核定、退回或暫停；界定適用條件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核准原件與條件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實施／保管</w:t>
            </w:r>
          </w:p>
        </w:tc>
        <w:tc>
          <w:tcPr>
            <w:tcW w:type="dxa" w:w="48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依核准版操作並保存原始資料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實施紀錄及檔案索引</w:t>
            </w:r>
          </w:p>
        </w:tc>
      </w:tr>
    </w:tbl>
    <w:p>
      <w:pPr>
        <w:pStyle w:val="Heading2"/>
        <w:widowControl/>
      </w:pPr>
      <w:r>
        <w:t>3.1 RACI 草案（非實際任命）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1800"/>
        <w:gridCol w:w="2016"/>
        <w:gridCol w:w="1944"/>
        <w:gridCol w:w="1800"/>
      </w:tblGrid>
      <w:tr>
        <w:trPr>
          <w:tblHeader w:val="true"/>
          <w:cantSplit/>
          <w:cantSplit/>
        </w:trPr>
        <w:tc>
          <w:tcPr>
            <w:tcW w:type="dxa" w:w="223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</w:t>
            </w:r>
          </w:p>
        </w:tc>
        <w:tc>
          <w:tcPr>
            <w:tcW w:type="dxa" w:w="1800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R 執行</w:t>
            </w:r>
          </w:p>
        </w:tc>
        <w:tc>
          <w:tcPr>
            <w:tcW w:type="dxa" w:w="2016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A 負責決定</w:t>
            </w:r>
          </w:p>
        </w:tc>
        <w:tc>
          <w:tcPr>
            <w:tcW w:type="dxa" w:w="1944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C 諮詢</w:t>
            </w:r>
          </w:p>
        </w:tc>
        <w:tc>
          <w:tcPr>
            <w:tcW w:type="dxa" w:w="1800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I 知會</w:t>
            </w:r>
          </w:p>
        </w:tc>
      </w:tr>
      <w:tr>
        <w:trPr>
          <w:cantSplit/>
          <w:cantSplit/>
          <w:cantSplit/>
        </w:trPr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需求確認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需求提出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程序承辦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相關人員</w:t>
            </w:r>
          </w:p>
        </w:tc>
      </w:tr>
      <w:tr>
        <w:trPr>
          <w:cantSplit/>
          <w:cantSplit/>
          <w:cantSplit/>
        </w:trPr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計畫與工具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課程設計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覆核者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實施者</w:t>
            </w:r>
          </w:p>
        </w:tc>
      </w:tr>
      <w:tr>
        <w:trPr>
          <w:cantSplit/>
          <w:cantSplit/>
          <w:cantSplit/>
        </w:trPr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獨立審查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設計者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承辦人</w:t>
            </w:r>
          </w:p>
        </w:tc>
      </w:tr>
      <w:tr>
        <w:trPr>
          <w:cantSplit/>
          <w:cantSplit/>
          <w:cantSplit/>
        </w:trPr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實施及評估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實施者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覆核者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承辦人</w:t>
            </w:r>
          </w:p>
        </w:tc>
      </w:tr>
      <w:tr>
        <w:trPr>
          <w:cantSplit/>
          <w:cantSplit/>
          <w:cantSplit/>
        </w:trPr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異常及改善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程序承辦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覆核者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需求提出</w:t>
            </w:r>
          </w:p>
        </w:tc>
      </w:tr>
      <w:tr>
        <w:trPr>
          <w:cantSplit/>
          <w:cantSplit/>
          <w:cantSplit/>
        </w:trPr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版控與公告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保管者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程序承辦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適用者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本表的職責配置須由協會依授權文件覆核；未核實前不得引用為任命或核准權的證明。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 輸入及開始條件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12"/>
        <w:gridCol w:w="3528"/>
        <w:gridCol w:w="2664"/>
        <w:gridCol w:w="2232"/>
      </w:tblGrid>
      <w:tr>
        <w:trPr>
          <w:tblHeader w:val="true"/>
          <w:cantSplit/>
          <w:cantSplit/>
        </w:trPr>
        <w:tc>
          <w:tcPr>
            <w:tcW w:type="dxa" w:w="151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3528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開始前核對</w:t>
            </w:r>
          </w:p>
        </w:tc>
        <w:tc>
          <w:tcPr>
            <w:tcW w:type="dxa" w:w="2664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未符合的處置</w:t>
            </w:r>
          </w:p>
        </w:tc>
        <w:tc>
          <w:tcPr>
            <w:tcW w:type="dxa" w:w="223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留痕</w:t>
            </w:r>
          </w:p>
        </w:tc>
      </w:tr>
      <w:tr>
        <w:trPr>
          <w:cantSplit/>
          <w:cantSplit/>
          <w:cantSplit/>
        </w:trPr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需求原件</w:t>
            </w:r>
          </w:p>
        </w:tc>
        <w:tc>
          <w:tcPr>
            <w:tcW w:type="dxa" w:w="35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範圍、來源日期、對象及原件位置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退回補件並指定待補責任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需求登記</w:t>
            </w:r>
          </w:p>
        </w:tc>
      </w:tr>
      <w:tr>
        <w:trPr>
          <w:cantSplit/>
          <w:cantSplit/>
          <w:cantSplit/>
        </w:trPr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計畫內容</w:t>
            </w:r>
          </w:p>
        </w:tc>
        <w:tc>
          <w:tcPr>
            <w:tcW w:type="dxa" w:w="35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目標、教材、師資、場地、資源及安全條件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核准前不得當作正式安排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計畫版本</w:t>
            </w:r>
          </w:p>
        </w:tc>
      </w:tr>
      <w:tr>
        <w:trPr>
          <w:cantSplit/>
          <w:cantSplit/>
          <w:cantSplit/>
        </w:trPr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評量方式</w:t>
            </w:r>
          </w:p>
        </w:tc>
        <w:tc>
          <w:tcPr>
            <w:tcW w:type="dxa" w:w="35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指標、工具版次、樣本、尺度及分母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方法不適用或未授權即暫停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設計與覆核</w:t>
            </w:r>
          </w:p>
        </w:tc>
      </w:tr>
      <w:tr>
        <w:trPr>
          <w:cantSplit/>
          <w:cantSplit/>
          <w:cantSplit/>
        </w:trPr>
        <w:tc>
          <w:tcPr>
            <w:tcW w:type="dxa" w:w="15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授權／隱私</w:t>
            </w:r>
          </w:p>
        </w:tc>
        <w:tc>
          <w:tcPr>
            <w:tcW w:type="dxa" w:w="35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權限、告知、同意、最少必要資料及保存方式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停止有疑慮的處理並依規章升級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授權及存取紀錄</w:t>
            </w:r>
          </w:p>
        </w:tc>
      </w:tr>
    </w:tbl>
    <w:p>
      <w:pPr>
        <w:pStyle w:val="Heading1"/>
        <w:widowControl/>
      </w:pPr>
      <w:r>
        <w:t>5 標準作業步驟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承辦者須逐步確認輸入、判斷、控制點和輸出；不得以口頭說明取代核准、原始訓練紀錄或結果覆核。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44"/>
        <w:gridCol w:w="5112"/>
        <w:gridCol w:w="2880"/>
      </w:tblGrid>
      <w:tr>
        <w:trPr>
          <w:tblHeader w:val="true"/>
          <w:cantSplit/>
          <w:cantSplit/>
        </w:trPr>
        <w:tc>
          <w:tcPr>
            <w:tcW w:type="dxa" w:w="1944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步驟／功能角色</w:t>
            </w:r>
          </w:p>
        </w:tc>
        <w:tc>
          <w:tcPr>
            <w:tcW w:type="dxa" w:w="511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處理要求及判斷</w:t>
            </w:r>
          </w:p>
        </w:tc>
        <w:tc>
          <w:tcPr>
            <w:tcW w:type="dxa" w:w="2880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輸出證據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5.1 收件登錄／承辦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建立案號；對象、需求與來源可追溯，否則退件補正。</w:t>
            </w:r>
          </w:p>
        </w:tc>
        <w:tc>
          <w:tcPr>
            <w:tcW w:type="dxa" w:w="28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需求表、來源索引、補件紀錄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5.2 擬定計畫／設計者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把核實需求連結目標、內容、資源、方法及安全措施。</w:t>
            </w:r>
          </w:p>
        </w:tc>
        <w:tc>
          <w:tcPr>
            <w:tcW w:type="dxa" w:w="28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計畫草案、資源檢核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5.3 工具審查／覆核者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查目標與題項對應、版本、樣本、計分與公平性。</w:t>
            </w:r>
          </w:p>
        </w:tc>
        <w:tc>
          <w:tcPr>
            <w:tcW w:type="dxa" w:w="28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工具版次、覆核意見及修訂表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5.4 核准放行／授權者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確認權限、簽核原件、適用範圍、生效條件後始可實施。</w:t>
            </w:r>
          </w:p>
        </w:tc>
        <w:tc>
          <w:tcPr>
            <w:tcW w:type="dxa" w:w="28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核准原件及通知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5.5 依版執行／實施者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照核准版本辦理，記日期、出席、偏差、附件與原始結果。</w:t>
            </w:r>
          </w:p>
        </w:tc>
        <w:tc>
          <w:tcPr>
            <w:tcW w:type="dxa" w:w="28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實施紀錄和附件位置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5.6 計算覆核／評估者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使用核定口徑；缺值、分母為零與限制分別標示。</w:t>
            </w:r>
          </w:p>
        </w:tc>
        <w:tc>
          <w:tcPr>
            <w:tcW w:type="dxa" w:w="28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計算表、判讀、覆核日期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5.7 改善關閉／承辦者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登錄原因、責任、期限及驗證；證據未驗證不得關閉。</w:t>
            </w:r>
          </w:p>
        </w:tc>
        <w:tc>
          <w:tcPr>
            <w:tcW w:type="dxa" w:w="28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追蹤表、驗證證據及決定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6 訓練評估與指標計算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評量須於實施前界定對象、方法、工具版本、合格判準、樣本及缺值規則。知識理解、操作觀察、學習回饋或後續應用可作為待選方式；實際採用及門檻必須逐案授權核定。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2232"/>
        <w:gridCol w:w="3240"/>
        <w:gridCol w:w="2592"/>
      </w:tblGrid>
      <w:tr>
        <w:trPr>
          <w:tblHeader w:val="true"/>
          <w:cantSplit/>
          <w:cantSplit/>
        </w:trPr>
        <w:tc>
          <w:tcPr>
            <w:tcW w:type="dxa" w:w="1800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指定指標</w:t>
            </w:r>
          </w:p>
        </w:tc>
        <w:tc>
          <w:tcPr>
            <w:tcW w:type="dxa" w:w="223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計算方式</w:t>
            </w:r>
          </w:p>
        </w:tc>
        <w:tc>
          <w:tcPr>
            <w:tcW w:type="dxa" w:w="3240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核對原始資料</w:t>
            </w:r>
          </w:p>
        </w:tc>
        <w:tc>
          <w:tcPr>
            <w:tcW w:type="dxa" w:w="259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判讀限制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流程準時率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期限內完成件數／總件數</w:t>
            </w:r>
          </w:p>
        </w:tc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案件清單、核定期限、完成時間、排除原因</w:t>
            </w:r>
          </w:p>
        </w:tc>
        <w:tc>
          <w:tcPr>
            <w:tcW w:type="dxa" w:w="25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同一期間及案件口徑；分母為零填不適用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異常結案率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已驗證結案件數／異常件數</w:t>
            </w:r>
          </w:p>
        </w:tc>
        <w:tc>
          <w:tcPr>
            <w:tcW w:type="dxa" w:w="32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異常案、處置證據、覆核結果及日期</w:t>
            </w:r>
          </w:p>
        </w:tc>
        <w:tc>
          <w:tcPr>
            <w:tcW w:type="dxa" w:w="25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須完成驗證；分母為零不算比例</w:t>
            </w:r>
          </w:p>
        </w:tc>
      </w:tr>
    </w:tbl>
    <w:p>
      <w:pPr>
        <w:pStyle w:val="Heading2"/>
        <w:widowControl/>
      </w:pPr>
      <w:r>
        <w:t>6.1 工具及資料品質覆核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28"/>
        <w:gridCol w:w="4608"/>
        <w:gridCol w:w="3528"/>
      </w:tblGrid>
      <w:tr>
        <w:trPr>
          <w:tblHeader w:val="true"/>
          <w:cantSplit/>
          <w:cantSplit/>
        </w:trPr>
        <w:tc>
          <w:tcPr>
            <w:tcW w:type="dxa" w:w="1728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面向</w:t>
            </w:r>
          </w:p>
        </w:tc>
        <w:tc>
          <w:tcPr>
            <w:tcW w:type="dxa" w:w="4608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覆核問題</w:t>
            </w:r>
          </w:p>
        </w:tc>
        <w:tc>
          <w:tcPr>
            <w:tcW w:type="dxa" w:w="3528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未通過處置</w:t>
            </w:r>
          </w:p>
        </w:tc>
      </w:tr>
      <w:tr>
        <w:trPr>
          <w:cantSplit/>
          <w:cantSplit/>
          <w:cantSplit/>
        </w:trPr>
        <w:tc>
          <w:tcPr>
            <w:tcW w:type="dxa" w:w="17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目標映射</w:t>
            </w:r>
          </w:p>
        </w:tc>
        <w:tc>
          <w:tcPr>
            <w:tcW w:type="dxa" w:w="46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題目／觀察項是否對應核准目標？</w:t>
            </w:r>
          </w:p>
        </w:tc>
        <w:tc>
          <w:tcPr>
            <w:tcW w:type="dxa" w:w="35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退回修訂並保留差異</w:t>
            </w:r>
          </w:p>
        </w:tc>
      </w:tr>
      <w:tr>
        <w:trPr>
          <w:cantSplit/>
          <w:cantSplit/>
          <w:cantSplit/>
        </w:trPr>
        <w:tc>
          <w:tcPr>
            <w:tcW w:type="dxa" w:w="17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量測一致</w:t>
            </w:r>
          </w:p>
        </w:tc>
        <w:tc>
          <w:tcPr>
            <w:tcW w:type="dxa" w:w="46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版本、尺度、計分及評分規則是否一致？</w:t>
            </w:r>
          </w:p>
        </w:tc>
        <w:tc>
          <w:tcPr>
            <w:tcW w:type="dxa" w:w="35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停用錯版，重新確認</w:t>
            </w:r>
          </w:p>
        </w:tc>
      </w:tr>
      <w:tr>
        <w:trPr>
          <w:cantSplit/>
          <w:cantSplit/>
          <w:cantSplit/>
        </w:trPr>
        <w:tc>
          <w:tcPr>
            <w:tcW w:type="dxa" w:w="17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樣本與缺漏</w:t>
            </w:r>
          </w:p>
        </w:tc>
        <w:tc>
          <w:tcPr>
            <w:tcW w:type="dxa" w:w="46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納排條件、無效值及回收情況是否列明？</w:t>
            </w:r>
          </w:p>
        </w:tc>
        <w:tc>
          <w:tcPr>
            <w:tcW w:type="dxa" w:w="35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保留原數及原因，不補造</w:t>
            </w:r>
          </w:p>
        </w:tc>
      </w:tr>
      <w:tr>
        <w:trPr>
          <w:cantSplit/>
          <w:cantSplit/>
          <w:cantSplit/>
        </w:trPr>
        <w:tc>
          <w:tcPr>
            <w:tcW w:type="dxa" w:w="17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安全與隱私</w:t>
            </w:r>
          </w:p>
        </w:tc>
        <w:tc>
          <w:tcPr>
            <w:tcW w:type="dxa" w:w="46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告知、同意、風險及存取是否適當？</w:t>
            </w:r>
          </w:p>
        </w:tc>
        <w:tc>
          <w:tcPr>
            <w:tcW w:type="dxa" w:w="35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停止相關活動並升級</w:t>
            </w:r>
          </w:p>
        </w:tc>
      </w:tr>
      <w:tr>
        <w:trPr>
          <w:cantSplit/>
          <w:cantSplit/>
          <w:cantSplit/>
        </w:trPr>
        <w:tc>
          <w:tcPr>
            <w:tcW w:type="dxa" w:w="17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結果覆核</w:t>
            </w:r>
          </w:p>
        </w:tc>
        <w:tc>
          <w:tcPr>
            <w:tcW w:type="dxa" w:w="46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公式、資料、限制及結論是否可重算？</w:t>
            </w:r>
          </w:p>
        </w:tc>
        <w:tc>
          <w:tcPr>
            <w:tcW w:type="dxa" w:w="35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6"/>
              </w:rPr>
              <w:t>退回重算並保留版本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計算表必備：案號／期間、核准工具版次、母體、納入與排除件數、分子、分母、公式、計算者與日期、覆核者與日期、原始資料位置、限制及核定判讀。實際數據未提供時標示 WAITING_FOR_ORIGINAL。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7 例外控制及升級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88"/>
        <w:gridCol w:w="2232"/>
        <w:gridCol w:w="2952"/>
        <w:gridCol w:w="2664"/>
      </w:tblGrid>
      <w:tr>
        <w:trPr>
          <w:tblHeader w:val="true"/>
          <w:cantSplit/>
          <w:cantSplit/>
        </w:trPr>
        <w:tc>
          <w:tcPr>
            <w:tcW w:type="dxa" w:w="2088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情況</w:t>
            </w:r>
          </w:p>
        </w:tc>
        <w:tc>
          <w:tcPr>
            <w:tcW w:type="dxa" w:w="223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即時措施</w:t>
            </w:r>
          </w:p>
        </w:tc>
        <w:tc>
          <w:tcPr>
            <w:tcW w:type="dxa" w:w="295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決策升級</w:t>
            </w:r>
          </w:p>
        </w:tc>
        <w:tc>
          <w:tcPr>
            <w:tcW w:type="dxa" w:w="2664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關閉前證據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需求來源不明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暫停建案或退回補正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由需求權責者確認適用範圍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原件、補件及覆核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授權或版次不符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停止辦理並保留錯版位置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由核准角色決定撤回或重發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有效簽核、通知與回收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安全、隱私疑慮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先停相關作業並保全必要紀錄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交有效規章指定權責人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事件事實、處置及權限紀錄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工具錯誤或數據衝突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暫不出具結論，鎖定原始資料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設計者與覆核者查明口徑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差異表、重算及覆核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改善逾期／未驗證</w:t>
            </w:r>
          </w:p>
        </w:tc>
        <w:tc>
          <w:tcPr>
            <w:tcW w:type="dxa" w:w="223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維持開案追蹤，不得標結案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授權者決定展延或重新處理</w:t>
            </w:r>
          </w:p>
        </w:tc>
        <w:tc>
          <w:tcPr>
            <w:tcW w:type="dxa" w:w="266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決定、期限與驗證材料</w:t>
            </w:r>
          </w:p>
        </w:tc>
      </w:tr>
    </w:tbl>
    <w:p>
      <w:pPr>
        <w:pStyle w:val="Heading1"/>
        <w:widowControl/>
      </w:pPr>
      <w:r>
        <w:t>8 受控紀錄模板欄位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7"/>
        </w:rPr>
        <w:t>以下為可複製空白格式；每次使用須形成受控案卷，引用附件及檔案位置。未取得的真實內容不得以空白、假名或推估值填補。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7704"/>
      </w:tblGrid>
      <w:tr>
        <w:trPr>
          <w:tblHeader w:val="true"/>
          <w:cantSplit/>
          <w:cantSplit/>
        </w:trPr>
        <w:tc>
          <w:tcPr>
            <w:tcW w:type="dxa" w:w="2160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表單</w:t>
            </w:r>
          </w:p>
        </w:tc>
        <w:tc>
          <w:tcPr>
            <w:tcW w:type="dxa" w:w="7704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應記欄位</w:t>
            </w:r>
          </w:p>
        </w:tc>
      </w:tr>
      <w:tr>
        <w:trPr>
          <w:cantSplit/>
          <w:cantSplit/>
          <w:cantSplit/>
        </w:trPr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需求登錄</w:t>
            </w:r>
          </w:p>
        </w:tc>
        <w:tc>
          <w:tcPr>
            <w:tcW w:type="dxa" w:w="770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案號｜對象｜問題｜期望能力｜來源及日期｜原件位置｜範圍｜待補責任／期限｜覆核</w:t>
            </w:r>
          </w:p>
        </w:tc>
      </w:tr>
      <w:tr>
        <w:trPr>
          <w:cantSplit/>
          <w:cantSplit/>
          <w:cantSplit/>
        </w:trPr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計畫核定</w:t>
            </w:r>
          </w:p>
        </w:tc>
        <w:tc>
          <w:tcPr>
            <w:tcW w:type="dxa" w:w="770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目標｜對象｜內容｜教材版次｜師資與條件｜場地／安全｜資源｜評估方法｜簽核原件</w:t>
            </w:r>
          </w:p>
        </w:tc>
      </w:tr>
      <w:tr>
        <w:trPr>
          <w:cantSplit/>
          <w:cantSplit/>
          <w:cantSplit/>
        </w:trPr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實施與評估</w:t>
            </w:r>
          </w:p>
        </w:tc>
        <w:tc>
          <w:tcPr>
            <w:tcW w:type="dxa" w:w="770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實際日期｜有效版次｜出席／樣本｜工具｜原始觀察｜分子分母｜計算與限制｜覆核</w:t>
            </w:r>
          </w:p>
        </w:tc>
      </w:tr>
      <w:tr>
        <w:trPr>
          <w:cantSplit/>
          <w:cantSplit/>
          <w:cantSplit/>
        </w:trPr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異常改善</w:t>
            </w:r>
          </w:p>
        </w:tc>
        <w:tc>
          <w:tcPr>
            <w:tcW w:type="dxa" w:w="770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事件｜控制措施｜升級對象｜責任角色｜期限｜證據｜驗證｜決議｜版本差異</w:t>
            </w:r>
          </w:p>
        </w:tc>
      </w:tr>
      <w:tr>
        <w:trPr>
          <w:cantSplit/>
          <w:cantSplit/>
          <w:cantSplit/>
        </w:trPr>
        <w:tc>
          <w:tcPr>
            <w:tcW w:type="dxa" w:w="216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公告與保存</w:t>
            </w:r>
          </w:p>
        </w:tc>
        <w:tc>
          <w:tcPr>
            <w:tcW w:type="dxa" w:w="770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文件代碼｜核准／生效原件｜公告對象日期｜舊版回收｜保存路徑｜權限／期限｜備份調閱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9 I04-E04 要求—證據追溯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88"/>
        <w:gridCol w:w="3312"/>
        <w:gridCol w:w="3024"/>
        <w:gridCol w:w="1440"/>
      </w:tblGrid>
      <w:tr>
        <w:trPr>
          <w:tblHeader w:val="true"/>
          <w:cantSplit/>
          <w:cantSplit/>
        </w:trPr>
        <w:tc>
          <w:tcPr>
            <w:tcW w:type="dxa" w:w="2088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方框要求</w:t>
            </w:r>
          </w:p>
        </w:tc>
        <w:tc>
          <w:tcPr>
            <w:tcW w:type="dxa" w:w="331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對應位置／控制</w:t>
            </w:r>
          </w:p>
        </w:tc>
        <w:tc>
          <w:tcPr>
            <w:tcW w:type="dxa" w:w="3024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可查原件及紀錄</w:t>
            </w:r>
          </w:p>
        </w:tc>
        <w:tc>
          <w:tcPr>
            <w:tcW w:type="dxa" w:w="1440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現有狀態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訓練實施依據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 4–5 節：需求來源、計畫、授權版次及放行條件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需求、計畫、核准原件、實施紀錄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訓練結果評估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 6 節：工具、指定計算、缺值及限制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工具、原始資料、重算表、覆核與改善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標準化 SOP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 1–8 節：角色、步驟、決策、異常與輸出</w:t>
            </w:r>
          </w:p>
        </w:tc>
        <w:tc>
          <w:tcPr>
            <w:tcW w:type="dxa" w:w="30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有效版、作業紀錄、變更與保存索引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DRAFT_SYNTHETIC</w:t>
            </w:r>
          </w:p>
        </w:tc>
      </w:tr>
    </w:tbl>
    <w:p>
      <w:pPr>
        <w:pStyle w:val="Heading1"/>
        <w:widowControl/>
      </w:pPr>
      <w:r>
        <w:t>10 文件核准、公告、修訂及保存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4608"/>
        <w:gridCol w:w="3456"/>
      </w:tblGrid>
      <w:tr>
        <w:trPr>
          <w:tblHeader w:val="true"/>
          <w:cantSplit/>
          <w:cantSplit/>
        </w:trPr>
        <w:tc>
          <w:tcPr>
            <w:tcW w:type="dxa" w:w="1800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控制點</w:t>
            </w:r>
          </w:p>
        </w:tc>
        <w:tc>
          <w:tcPr>
            <w:tcW w:type="dxa" w:w="4608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應執行事項</w:t>
            </w:r>
          </w:p>
        </w:tc>
        <w:tc>
          <w:tcPr>
            <w:tcW w:type="dxa" w:w="3456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可核驗紀錄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草擬覆核</w:t>
            </w:r>
          </w:p>
        </w:tc>
        <w:tc>
          <w:tcPr>
            <w:tcW w:type="dxa" w:w="46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註明來源、版本、理由；覆核衝突及適用性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草稿、意見、差異版本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核准生效</w:t>
            </w:r>
          </w:p>
        </w:tc>
        <w:tc>
          <w:tcPr>
            <w:tcW w:type="dxa" w:w="46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取得授權原件，確認範圍、條件、生效日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授權規則及簽核件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公告回收</w:t>
            </w:r>
          </w:p>
        </w:tc>
        <w:tc>
          <w:tcPr>
            <w:tcW w:type="dxa" w:w="46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告知適用人員與取得方式；回收舊版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公告通知、收件及舊版清單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定期檢視</w:t>
            </w:r>
          </w:p>
        </w:tc>
        <w:tc>
          <w:tcPr>
            <w:tcW w:type="dxa" w:w="46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按核定頻率或重大變更觸發覆核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檢視結論及修訂紀錄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保存調閱</w:t>
            </w:r>
          </w:p>
        </w:tc>
        <w:tc>
          <w:tcPr>
            <w:tcW w:type="dxa" w:w="460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定權限、保存期限、備份與調閱程序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檔案索引、權限及調閱紀錄</w:t>
            </w:r>
          </w:p>
        </w:tc>
      </w:tr>
    </w:tbl>
    <w:p>
      <w:pPr>
        <w:pStyle w:val="Heading1"/>
        <w:widowControl/>
      </w:pPr>
      <w:r>
        <w:t>11 正式採用前核實及待決問題</w:t>
      </w:r>
    </w:p>
    <w:tbl>
      <w:tblPr>
        <w:tblW w:type="dxa" w:w="986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52"/>
        <w:gridCol w:w="5256"/>
        <w:gridCol w:w="1656"/>
      </w:tblGrid>
      <w:tr>
        <w:trPr>
          <w:tblHeader w:val="true"/>
          <w:cantSplit/>
          <w:cantSplit/>
        </w:trPr>
        <w:tc>
          <w:tcPr>
            <w:tcW w:type="dxa" w:w="2952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問題／核實項</w:t>
            </w:r>
          </w:p>
        </w:tc>
        <w:tc>
          <w:tcPr>
            <w:tcW w:type="dxa" w:w="5256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應先取得之真實依據</w:t>
            </w:r>
          </w:p>
        </w:tc>
        <w:tc>
          <w:tcPr>
            <w:tcW w:type="dxa" w:w="1656"/>
            <w:vAlign w:val="center"/>
            <w:shd w:fill="284B63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  <w:cantSplit/>
          <w:cantSplit/>
        </w:trPr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誰執行、覆核及核准？</w:t>
            </w:r>
          </w:p>
        </w:tc>
        <w:tc>
          <w:tcPr>
            <w:tcW w:type="dxa" w:w="52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有效組織權責與授權原件</w:t>
            </w:r>
          </w:p>
        </w:tc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  <w:cantSplit/>
        </w:trPr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哪些工具、目標與條件適用？</w:t>
            </w:r>
          </w:p>
        </w:tc>
        <w:tc>
          <w:tcPr>
            <w:tcW w:type="dxa" w:w="52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核定課程計畫、評估工具與目標值</w:t>
            </w:r>
          </w:p>
        </w:tc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  <w:cantSplit/>
        </w:trPr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何種情況停止及如何升級？</w:t>
            </w:r>
          </w:p>
        </w:tc>
        <w:tc>
          <w:tcPr>
            <w:tcW w:type="dxa" w:w="52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核定程序、權責及期限</w:t>
            </w:r>
          </w:p>
        </w:tc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  <w:cantSplit/>
        </w:trPr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紀錄存放何處及保存多久？</w:t>
            </w:r>
          </w:p>
        </w:tc>
        <w:tc>
          <w:tcPr>
            <w:tcW w:type="dxa" w:w="52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正式路徑、權限、期限及備份規則</w:t>
            </w:r>
          </w:p>
        </w:tc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WAITING_FOR_ORIGINAL</w:t>
            </w:r>
          </w:p>
        </w:tc>
      </w:tr>
      <w:tr>
        <w:trPr>
          <w:cantSplit/>
          <w:cantSplit/>
          <w:cantSplit/>
        </w:trPr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哪段直接回應方框？</w:t>
            </w:r>
          </w:p>
        </w:tc>
        <w:tc>
          <w:tcPr>
            <w:tcW w:type="dxa" w:w="52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第 4–10 節與逐案原件對照</w:t>
            </w:r>
          </w:p>
        </w:tc>
        <w:tc>
          <w:tcPr>
            <w:tcW w:type="dxa" w:w="16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待協會審議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本稿不得代替協會核定。正式採用前須完成權責、內容、課程、工具、指標、原件位置及保存控制的真實核實，並取得有效簽核；未取得的核定、實施、成果及第三方證明維持待補。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06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57482"/>
        <w:sz w:val="15"/>
      </w:rPr>
      <w:t xml:space="preserve">0025 R06｜訓練評估與實施 SOP｜頁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57482"/>
        <w:sz w:val="15"/>
      </w:rPr>
      <w:t>社團法人屏東縣原始點關懷協會｜I04-E04｜DRAFT_SYNTHETIC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Microsoft JhengHei" w:hAnsi="Microsoft JhengHei" w:eastAsia="Microsoft JhengHei"/>
      <w:color w:val="26374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