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師資教材廠商評選紀錄表</w:t>
      </w:r>
    </w:p>
    <w:p>
      <w:pPr>
        <w:jc w:val="center"/>
      </w:pPr>
      <w:r>
        <w:rPr>
          <w:b/>
          <w:color w:val="1F4E79"/>
        </w:rPr>
        <w:t>I10-E01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0046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10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I10-E01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3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完整文書手冊與紀錄分析相關資料（具體明確紀錄展現課程設計時，有適當的流程進行師資、教材或合作廠商評估選擇，且流程應有適當的辦法進行評估、採購、簽約及後續管理作業流程）。」。其文件類型為：資源甄選採購與後續管理｜完整文書手冊與紀錄分析相關資料(具體明確紀錄展現課程設計時，有適當的。本件只回應此一證據用途；關聯文件以序號交叉引用，不重複主張其他指標的事實。</w:t>
      </w:r>
    </w:p>
    <w:p>
      <w:pPr>
        <w:pStyle w:val="Heading1"/>
        <w:keepNext/>
      </w:pPr>
      <w:r>
        <w:t>評選紀錄性質</w:t>
      </w:r>
    </w:p>
    <w:p>
      <w:pPr>
        <w:spacing w:after="100"/>
      </w:pPr>
      <w:r>
        <w:t>本表中的「候選A／候選B」與分數都是模擬資料，不指涉真實廠商、講師或採購。正式甄選須記錄實際資格文件、報價、利益衝突聲明及評選者簽名；不得沿用演練排名作成採購決議。</w:t>
      </w:r>
    </w:p>
    <w:p>
      <w:pPr>
        <w:pStyle w:val="Heading1"/>
        <w:keepNext/>
      </w:pPr>
      <w:r>
        <w:t>判讀方式</w:t>
      </w:r>
    </w:p>
    <w:p>
      <w:pPr>
        <w:spacing w:after="100"/>
      </w:pPr>
      <w:r>
        <w:t>示範評分以專業適配、教學設計、資安與安全、交付能力、價格合理性為構面。重大安全或資格缺失屬否決條件，總分較高不得抵銷法定資格或安全缺失。</w:t>
      </w:r>
    </w:p>
    <w:p>
      <w:pPr>
        <w:pStyle w:val="Heading1"/>
        <w:keepNext/>
      </w:pPr>
      <w:r>
        <w:t>模擬評分紀錄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構面（權重）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候選A（模擬）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候選B（模擬）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評分依據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正式查驗狀態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專業適配（30）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24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27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內容與目標、範圍及資格的匹配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不得推定有真實候選者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教學設計（25）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18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目標、活動與評量連結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尚無教案原件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安全與合規（25）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23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停止條件、告知、場地規範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須先核實法規／資格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交付及紀錄（10）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可追蹤交付與保密安排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尚未查證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價格合理性（10）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須有同規格書面報價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本示例沒有實際價格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模擬合計（100）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80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僅示範加總，非採購決定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不可作為核定依據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正式決選覆核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覆核項目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所需原件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結果／簽核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候選者身分與資格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真實證照、履歷及查驗紀錄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待取得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利益衝突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評選者聲明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待填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預算與採購授權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核定預算與權責規範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待核對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評選決議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真實評分表、會議紀錄與主管核准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尚未發生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I10-E01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本文件第0046號；原始來源與附件以核實後登錄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關聯要求參照：I08,I12；本文件不替代其專屬紀錄。</w:t>
      </w:r>
    </w:p>
    <w:p>
      <w:pPr>
        <w:pStyle w:val="Heading2"/>
        <w:keepNext/>
      </w:pPr>
      <w:r>
        <w:t>需求規格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I10-E01官方要求的直接回應與適用情境</w:t>
      </w:r>
    </w:p>
    <w:p>
      <w:r>
        <w:t>本節逐字對應官方查核佐證資料表第 3 頁要求：「完整文書手冊與紀錄分析相關資料（具體明確紀錄展現課程設計時，有適當的流程進行師資、教材或合作廠商評估選擇，且流程應有適當的辦法進行評估、採購、簽約及後續管理作業流程）。」。本文件僅提供該項要求所需的文件工作稿與追溯欄位。</w:t>
      </w:r>
    </w:p>
    <w:p>
      <w:pPr>
        <w:pStyle w:val="Heading2"/>
        <w:keepNext/>
      </w:pPr>
      <w:r>
        <w:t>候選來源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甄選標準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評分與比較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利益衝突/迴避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核准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採購/簽約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履約驗收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績效評估</w:t>
      </w:r>
    </w:p>
    <w:p>
      <w:r>
        <w:t>選擇師資、教材或服務來源時先界定規格與必要資格，再用一致標準比較品質、適切性、成本、交付風險及利益衝突。採購、簽約、驗收與付款須依協會實際核決權限及原始單據執行。</w:t>
      </w:r>
    </w:p>
    <w:p>
      <w:pPr>
        <w:pStyle w:val="Heading2"/>
        <w:keepNext/>
      </w:pPr>
      <w:r>
        <w:t>續用/淘汰與改善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紀錄保存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I10-E01真實升格檢核與替換清單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