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訓練班級完整結案報告</w:t>
      </w:r>
    </w:p>
    <w:p>
      <w:pPr>
        <w:jc w:val="center"/>
      </w:pPr>
      <w:r>
        <w:rPr>
          <w:b/>
          <w:color w:val="1F4E79"/>
        </w:rPr>
        <w:t>I15-E02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0066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I15-E02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5 頁「訓練的結案報告，包括資源的運用、財務的支配、訓練成果的展現、檢討及改進的方法。」。其文件類型為：完整訓練班級結案報告。本件只回應此一證據用途；關聯文件以序號交叉引用，不重複主張其他指標的事實。</w:t>
      </w:r>
    </w:p>
    <w:p>
      <w:pPr>
        <w:pStyle w:val="Heading1"/>
        <w:keepNext/>
      </w:pPr>
      <w:r>
        <w:t>報告性質</w:t>
      </w:r>
    </w:p>
    <w:p>
      <w:pPr>
        <w:spacing w:after="100"/>
      </w:pPr>
      <w:r>
        <w:t>本件是完整結案報告的模擬案例，課程、人數、出席、成績、收支、意見、問題與改善均為虛構測試資料。它展示資料如何相互勾稽，不是協會辦訓紀錄、財務憑證或成效證據。正式結案應以簽到、教案、評量原表及收支憑證逐項替換。</w:t>
      </w:r>
    </w:p>
    <w:p>
      <w:pPr>
        <w:pStyle w:val="Heading1"/>
        <w:keepNext/>
      </w:pPr>
      <w:r>
        <w:t>分析結論</w:t>
      </w:r>
    </w:p>
    <w:p>
      <w:pPr>
        <w:spacing w:after="100"/>
      </w:pPr>
      <w:r>
        <w:t>演練案例呈現：完成率、評量結果與收支差異都須回到原始表單核對；改善措施應指定責任角色、期限及效果驗證。不得只因模擬數值達到示例目標，就寫成課程有效或持續成長。</w:t>
      </w:r>
    </w:p>
    <w:p>
      <w:pPr>
        <w:pStyle w:val="Heading1"/>
        <w:keepNext/>
      </w:pPr>
      <w:r>
        <w:t>完整結案章節核對（22項）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結案報告章節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模擬案例狀態／正式應附資料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班別與核定基本資料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開課需求與依據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訓練目標與成功標準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實際執行時程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學員遴選與出勤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師資資格與授課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教材版本與教學法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場地設備與安全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9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人力及行政資源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10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預算與支出核對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11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學習評量方法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評量結果彙整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13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學員回饋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14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講師回饋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異常與處置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16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法規、個資及同意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17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訓後追蹤安排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18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目標達成差距分析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19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原因分析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改善措施與責任期限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21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下一期驗證方案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22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附件索引、覆核與核定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模擬內容僅示範；正式資料待原始紀錄替換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模擬班級摘要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面向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示例值（非實績）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應勾稽原始資料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課程主題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健康教育與操作安全情境課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核定課程計畫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報名／完成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8／7人（模擬）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報名、簽到及結訓紀錄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出席率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示例 87.5%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逐時簽到與缺席紀錄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知識評量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7/8達示例門檻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題本、答案與原始作答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計畫／實際支出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12,000／11,200元（模擬）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核定預算、發票、付款憑證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結案判斷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不得升格為真實結案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權責覆核與核定紀錄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I15-E02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訓練的結案報告，包括資源的運用、財務的支配、訓練成果的展現、檢討及改進的方法。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本文件第0066號；原始來源與附件以核實後登錄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關聯要求參照：I08,I16,I17A,I17B；本文件不替代其專屬紀錄。</w:t>
      </w:r>
    </w:p>
    <w:p>
      <w:pPr>
        <w:pStyle w:val="Heading2"/>
        <w:keepNext/>
      </w:pPr>
      <w:r>
        <w:t>班別基本資料</w:t>
      </w:r>
    </w:p>
    <w:p>
      <w:r>
        <w:t>本節「班別基本資料」限定處理 I15-E02「訓練的結案報告，包括資源的運用、財務的支配、訓練成果的展現、檢討及改進的方法。」所需資料：逐欄註明來源、形成方式、責任角色與待核狀態；未見原始佐證的內容只保留為方案或待辦。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I15-E02官方要求的直接回應與適用情境</w:t>
      </w:r>
    </w:p>
    <w:p>
      <w:r>
        <w:t>本節逐字對應官方查核佐證資料表第 5 頁要求：「訓練的結案報告，包括資源的運用、財務的支配、訓練成果的展現、檢討及改進的方法。」。本文件僅提供該項要求所需的文件工作稿與追溯欄位。</w:t>
      </w:r>
    </w:p>
    <w:p>
      <w:pPr>
        <w:pStyle w:val="Heading2"/>
        <w:keepNext/>
      </w:pPr>
      <w:r>
        <w:t>開課需求與依據</w:t>
      </w:r>
    </w:p>
    <w:p>
      <w:r>
        <w:t>本節「開課需求與依據」限定處理 I15-E02「訓練的結案報告，包括資源的運用、財務的支配、訓練成果的展現、檢討及改進的方法。」所需資料：逐欄註明來源、形成方式、責任角色與待核狀態；未見原始佐證的內容只保留為方案或待辦。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原定訓練目標</w:t>
      </w:r>
    </w:p>
    <w:p>
      <w:r>
        <w:t>目標以學習者可觀察行為撰寫，包含條件與可接受表現；每項目標至少對應一個課程單元和評量工具，避免用「了解」作唯一成功標準。</w:t>
      </w:r>
    </w:p>
    <w:p>
      <w:pPr>
        <w:pStyle w:val="Heading2"/>
        <w:keepNext/>
      </w:pPr>
      <w:r>
        <w:t>實際執行情況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學員及出勤</w:t>
      </w:r>
    </w:p>
    <w:p>
      <w:r>
        <w:t>入選條件須和課程目標直接相關，公開一致且允許合理調整；報名資料限於辦訓必要項目，資格與通知結果應可追溯。</w:t>
      </w:r>
    </w:p>
    <w:p>
      <w:pPr>
        <w:pStyle w:val="Heading2"/>
        <w:keepNext/>
      </w:pPr>
      <w:r>
        <w:t>師資執行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教材與教學方法</w:t>
      </w:r>
    </w:p>
    <w:p>
      <w:r>
        <w:t>教材引用應記錄來源、版次、核對日期、使用授權及適用範圍；傳統技術內容須區分經驗性說明與可驗證資訊，不得加入療效保證。</w:t>
      </w:r>
    </w:p>
    <w:p>
      <w:pPr>
        <w:pStyle w:val="Heading2"/>
        <w:keepNext/>
      </w:pPr>
      <w:r>
        <w:t>場地及設備</w:t>
      </w:r>
    </w:p>
    <w:p>
      <w:r>
        <w:t>場地與器材按課程活動逐項檢查清潔、動線、維護、緊急聯絡及停止條件；安全或保險文件須附原件，不得以清單取代證明。</w:t>
      </w:r>
    </w:p>
    <w:p>
      <w:pPr>
        <w:pStyle w:val="Heading2"/>
        <w:keepNext/>
      </w:pPr>
      <w:r>
        <w:t>人力與資源</w:t>
      </w:r>
    </w:p>
    <w:p>
      <w:r>
        <w:t>人力與預算應按任務估列並由協會核定；本草案不假設已有專責人員、可用經費、場地或師資。資源缺口需在核准前列為決策條件。</w:t>
      </w:r>
    </w:p>
    <w:p>
      <w:pPr>
        <w:pStyle w:val="Heading2"/>
        <w:keepNext/>
      </w:pPr>
      <w:r>
        <w:t>核定預算與實際收支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學習評量結果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學員與講師回饋</w:t>
      </w:r>
    </w:p>
    <w:p>
      <w:r>
        <w:t>入選條件須和課程目標直接相關，公開一致且允許合理調整；報名資料限於辦訓必要項目，資格與通知結果應可追溯。</w:t>
      </w:r>
    </w:p>
    <w:p>
      <w:pPr>
        <w:pStyle w:val="Heading2"/>
        <w:keepNext/>
      </w:pPr>
      <w:r>
        <w:t>異常事項及處理</w:t>
      </w:r>
    </w:p>
    <w:p>
      <w:r>
        <w:t>主要控制是先核對需求與可用來源，再依「訓練的結案報告，包括資源的運用、財務的支配、訓練成果的展現、檢討及改進的方法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安全/法規/個資</w:t>
      </w:r>
    </w:p>
    <w:p>
      <w:r>
        <w:t>場地與器材按課程活動逐項檢查清潔、動線、維護、緊急聯絡及停止條件；安全或保險文件須附原件，不得以清單取代證明。</w:t>
      </w:r>
    </w:p>
    <w:p>
      <w:pPr>
        <w:pStyle w:val="Heading2"/>
        <w:keepNext/>
      </w:pPr>
      <w:r>
        <w:t>訓後追蹤安排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目標達成分析</w:t>
      </w:r>
    </w:p>
    <w:p>
      <w:r>
        <w:t>目標以學習者可觀察行為撰寫，包含條件與可接受表現；每項目標至少對應一個課程單元和評量工具，避免用「了解」作唯一成功標準。</w:t>
      </w:r>
    </w:p>
    <w:p>
      <w:pPr>
        <w:pStyle w:val="Heading2"/>
        <w:keepNext/>
      </w:pPr>
      <w:r>
        <w:t>問題與原因</w:t>
      </w:r>
    </w:p>
    <w:p>
      <w:r>
        <w:t>本節「問題與原因」限定處理 I15-E02「訓練的結案報告，包括資源的運用、財務的支配、訓練成果的展現、檢討及改進的方法。」所需資料：逐欄註明來源、形成方式、責任角色與待核狀態；未見原始佐證的內容只保留為方案或待辦。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改善措施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責任人及期限</w:t>
      </w:r>
    </w:p>
    <w:p>
      <w:r>
        <w:t>本節「責任人及期限」限定處理 I15-E02「訓練的結案報告，包括資源的運用、財務的支配、訓練成果的展現、檢討及改進的方法。」所需資料：逐欄註明來源、形成方式、責任角色與待核狀態；未見原始佐證的內容只保留為方案或待辦。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下一班驗證</w:t>
      </w:r>
    </w:p>
    <w:p>
      <w:r>
        <w:t>本節「下一班驗證」限定處理 I15-E02「訓練的結案報告，包括資源的運用、財務的支配、訓練成果的展現、檢討及改進的方法。」所需資料：逐欄註明來源、形成方式、責任角色與待核狀態；未見原始佐證的內容只保留為方案或待辦。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附件/證據索引</w:t>
      </w:r>
    </w:p>
    <w:p>
      <w:r>
        <w:t>附件索引至少含附件編號、名稱、來源、形成日期、檔案位置、版本、權限及覆核狀態；待取得的附件明確標記，不附空白佔位來冒充證據。</w:t>
      </w:r>
    </w:p>
    <w:p>
      <w:pPr>
        <w:pStyle w:val="Heading2"/>
        <w:keepNext/>
      </w:pPr>
      <w:r>
        <w:t>審查/核定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I15-E02真實升格檢核與替換清單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