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異常通報暨CAPA矯正預防紀錄</w:t>
      </w:r>
    </w:p>
    <w:p>
      <w:pPr>
        <w:jc w:val="center"/>
      </w:pPr>
      <w:r>
        <w:rPr>
          <w:b/>
          <w:color w:val="1F4E79"/>
        </w:rPr>
        <w:t>I16-E02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I16-E02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5 頁「訓練異常處理方法、 紀錄與工具。」。其文件類型為：訓練異常處理＋CAPA矯正預防閉環。本件只回應此一證據用途；關聯文件以序號交叉引用，不重複主張其他指標的事實。</w:t>
      </w:r>
    </w:p>
    <w:p>
      <w:pPr>
        <w:pStyle w:val="Heading1"/>
        <w:keepNext/>
      </w:pPr>
      <w:r>
        <w:t>模擬異常</w:t>
      </w:r>
    </w:p>
    <w:p>
      <w:pPr>
        <w:spacing w:after="100"/>
      </w:pPr>
      <w:r>
        <w:t>演練案例：課程資料夾內出現不同版本的操作安全講義。這是虛構情境，不代表協會曾發生事件。示範處置為暫停使用未核版本、保留檔案時間與版本資訊、確認已發放對象，再評估是否需要更正通知。</w:t>
      </w:r>
    </w:p>
    <w:p>
      <w:pPr>
        <w:pStyle w:val="Heading1"/>
        <w:keepNext/>
      </w:pPr>
      <w:r>
        <w:t>原因與措施</w:t>
      </w:r>
    </w:p>
    <w:p>
      <w:pPr>
        <w:spacing w:after="100"/>
      </w:pPr>
      <w:r>
        <w:t>假設根因為文件未標示核定狀態，且發放前缺少版本核對。建議以單一受控存放位置、頁首版本標記、發放前雙人核對及舊版回收降低再發；措施需試行後驗證，未完成前不得結案。</w:t>
      </w:r>
    </w:p>
    <w:p>
      <w:pPr>
        <w:pStyle w:val="Heading1"/>
        <w:keepNext/>
      </w:pPr>
      <w:r>
        <w:t>模擬事件時間線與處置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節點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模擬觀察／動作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證據位置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發現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假設承辦發現兩份安全講義版本不同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模擬情境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非真實事件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圍堵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停止發放未核版本；保留檔名與版本資訊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正式時附檔案紀錄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演練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影響確認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比對已發放對象及授課節點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正式時以發放清冊查驗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待演練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原因分析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假設未受控存放與發放前缺少核對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版本流程及核對表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模擬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矯正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撤下舊版，按真實受影響名單更正通知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通知與回收紀錄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待執行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預防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設定核定標示及發放前雙人覆核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受控文件規則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待核定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效果驗證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抽核後續版次與發放紀錄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需設驗證樣本與期間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未驗證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根因到驗證的行動單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根因假設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措施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期限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效果指標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核定狀態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版本無單一權威來源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指定受控位置及唯讀舊版區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文件管理角色待指派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待決策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抽樣文件無錯版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待核</w:t>
            </w:r>
          </w:p>
        </w:tc>
      </w:tr>
      <w:tr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發放前未核版本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新增發放核對欄及覆核人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課程承辦待指派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待決策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發放清單版本與核定版一致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I16-E02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訓練異常處理方法、 紀錄與工具。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本文件第0071號；原始來源與附件以核實後登錄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關聯要求參照：I04,I12,I15；本文件不替代其專屬紀錄。</w:t>
      </w:r>
    </w:p>
    <w:p>
      <w:pPr>
        <w:pStyle w:val="Heading2"/>
        <w:keepNext/>
      </w:pPr>
      <w:r>
        <w:t>事件識別</w:t>
      </w:r>
    </w:p>
    <w:p>
      <w:r>
        <w:t>本節「事件識別」限定處理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I16-E02官方要求的直接回應與適用情境</w:t>
      </w:r>
    </w:p>
    <w:p>
      <w:r>
        <w:t>本節逐字對應官方查核佐證資料表第 5 頁要求：「訓練異常處理方法、 紀錄與工具。」。本文件僅提供該項要求所需的文件工作稿與追溯欄位。</w:t>
      </w:r>
    </w:p>
    <w:p>
      <w:pPr>
        <w:pStyle w:val="Heading2"/>
        <w:keepNext/>
      </w:pPr>
      <w:r>
        <w:t>影響/風險</w:t>
      </w:r>
    </w:p>
    <w:p>
      <w:r>
        <w:t>主要控制是先核對需求與可用來源，再依「訓練異常處理方法、 紀錄與工具。」的證明目的決定是否適用。來源不足、資料不一致、個資未授權或超出健康教育及傳統整復推拿技術範圍時，暫停引用、記錄差異並交權責人判定。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立即圍堵</w:t>
      </w:r>
    </w:p>
    <w:p>
      <w:r>
        <w:t>本節「立即圍堵」限定處理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事實時間線</w:t>
      </w:r>
    </w:p>
    <w:p>
      <w:r>
        <w:t>本節「事實時間線」限定處理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根因分析</w:t>
      </w:r>
    </w:p>
    <w:p>
      <w:r>
        <w:t>分析段落分開呈現原始觀察、計算結果、可能解釋、資料限制及可採取決策；任何因果語句需有足夠設計與證據支撐。</w:t>
      </w:r>
    </w:p>
    <w:p>
      <w:pPr>
        <w:pStyle w:val="Heading2"/>
        <w:keepNext/>
      </w:pPr>
      <w:r>
        <w:t>矯正措施</w:t>
      </w:r>
    </w:p>
    <w:p>
      <w:r>
        <w:t>本節「矯正措施」限定處理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預防措施</w:t>
      </w:r>
    </w:p>
    <w:p>
      <w:r>
        <w:t>本節「預防措施」限定處理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責任/期限</w:t>
      </w:r>
    </w:p>
    <w:p>
      <w:r>
        <w:t>本節「責任/期限」限定處理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效果驗證</w:t>
      </w:r>
    </w:p>
    <w:p>
      <w:r>
        <w:t>本節「效果驗證」限定處理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結案核准</w:t>
      </w:r>
    </w:p>
    <w:p>
      <w:r>
        <w:t>草案核定前維持待決；正式版應記錄核准權責、版本、生效日、公告管道、舊版回收與保存位置。不得將工作稿抄入正式手冊後略過核定。</w:t>
      </w:r>
    </w:p>
    <w:p>
      <w:pPr>
        <w:pStyle w:val="Heading2"/>
        <w:keepNext/>
      </w:pPr>
      <w:r>
        <w:t>趨勢與再發檢查</w:t>
      </w:r>
    </w:p>
    <w:p>
      <w:r>
        <w:t>本節「趨勢與再發檢查」限定處理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I16-E02真實升格檢核與替換清單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