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</w:pPr>
      <w:r>
        <w:rPr>
          <w:rFonts w:ascii="Microsoft JhengHei" w:hAnsi="Microsoft JhengHei" w:eastAsia="Microsoft JhengHei"/>
          <w:b/>
          <w:color w:val="0F5C66"/>
          <w:sz w:val="20"/>
        </w:rPr>
        <w:t>指標 16　／　要求 I16-E02</w:t>
      </w:r>
    </w:p>
    <w:p>
      <w:pPr>
        <w:spacing w:after="40" w:line="264" w:lineRule="auto"/>
      </w:pPr>
      <w:r>
        <w:rPr>
          <w:rFonts w:ascii="Microsoft JhengHei" w:hAnsi="Microsoft JhengHei" w:eastAsia="Microsoft JhengHei"/>
          <w:b/>
          <w:color w:val="17324D"/>
          <w:sz w:val="46"/>
        </w:rPr>
        <w:t>異常通報暨 CAPA</w:t>
        <w:br/>
        <w:t>矯正預防紀錄</w:t>
      </w:r>
    </w:p>
    <w:p>
      <w:pPr>
        <w:spacing w:after="100" w:line="264" w:lineRule="auto"/>
      </w:pPr>
      <w:r>
        <w:rPr>
          <w:rFonts w:ascii="Microsoft JhengHei" w:hAnsi="Microsoft JhengHei" w:eastAsia="Microsoft JhengHei"/>
          <w:b w:val="0"/>
          <w:color w:val="52697A"/>
          <w:sz w:val="20"/>
        </w:rPr>
        <w:t>訓練異常處理＋CAPA矯正預防閉環｜交付文件 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1E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b/>
                <w:color w:val="8A3E28"/>
              </w:rPr>
            </w:r>
            <w:r>
              <w:rPr>
                <w:rFonts w:ascii="Microsoft JhengHei" w:hAnsi="Microsoft JhengHei" w:eastAsia="Microsoft JhengHei"/>
                <w:b w:val="0"/>
                <w:color w:val="243746"/>
                <w:sz w:val="17"/>
              </w:rPr>
              <w:t>SYNTHETIC EXAMPLE—NOT ASSOCIATION RECORD｜DRAFT_SYNTHETIC。案例中的事件、日期、版本、角色、數值及計算均為擬真教學資料；不代表協會曾辦訓、發生異常、執行改善或取得成效。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文件識別</w:t>
            </w:r>
          </w:p>
        </w:tc>
        <w:tc>
          <w:tcPr>
            <w:tcW w:type="dxa" w:w="80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值／使用界線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序號／要求</w:t>
            </w:r>
          </w:p>
        </w:tc>
        <w:tc>
          <w:tcPr>
            <w:tcW w:type="dxa" w:w="80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0071｜I16-E02｜「訓練異常處理方法、 紀錄與工具。」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文件狀態</w:t>
            </w:r>
          </w:p>
        </w:tc>
        <w:tc>
          <w:tcPr>
            <w:tcW w:type="dxa" w:w="80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DRAFT_SYNTHETIC；無 PASS、評分、核准或簽章效力。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對象／範圍</w:t>
            </w:r>
          </w:p>
        </w:tc>
        <w:tc>
          <w:tcPr>
            <w:tcW w:type="dxa" w:w="80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社團法人屏東縣原始點關懷協會；限訓練異常通報、紀錄、CAPA、效果驗證與趨勢。協會核心方向為健康教育及傳統整復推拿技術；多元課程依實際市場需求、資源、法規及品質條件評估。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前版來源</w:t>
            </w:r>
          </w:p>
        </w:tc>
        <w:tc>
          <w:tcPr>
            <w:tcW w:type="dxa" w:w="80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LEGACY_PROVENANCE_GAP：未重建前版歷史；本次收據只記本次實際讀取與輸出。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01　官方要求的直接回應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官方要求／來源</w:t>
            </w:r>
          </w:p>
        </w:tc>
        <w:tc>
          <w:tcPr>
            <w:tcW w:type="dxa" w:w="64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本文件可直接定位的回應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「訓練異常處理方法、 紀錄與工具。」；Source Packet 引官方佐證表 p.5</w:t>
            </w:r>
          </w:p>
        </w:tc>
        <w:tc>
          <w:tcPr>
            <w:tcW w:type="dxa" w:w="64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本紀錄含訓練異常識別、影響／圍堵、時間線、根因、矯正／預防、責任期限、效果驗證、結案、趨勢欄；第 5–6 頁有空白可填表。實際協會紀錄待原件。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Source Packet 記載評核表 p.3 意義</w:t>
            </w:r>
          </w:p>
        </w:tc>
        <w:tc>
          <w:tcPr>
            <w:tcW w:type="dxa" w:w="64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0 未執行；1 全程管控並年度彙整審查；2 建立程序且異常有紀錄因應；3 必要時矯正防再發。本稿不替評核者評分。</w:t>
            </w:r>
          </w:p>
        </w:tc>
      </w:tr>
    </w:tbl>
    <w:p>
      <w:pPr>
        <w:spacing w:after="0"/>
      </w:pPr>
    </w:p>
    <w:p>
      <w:pPr>
        <w:spacing w:after="40" w:line="264" w:lineRule="auto"/>
      </w:pPr>
      <w:r>
        <w:rPr>
          <w:rFonts w:ascii="Microsoft JhengHei" w:hAnsi="Microsoft JhengHei" w:eastAsia="Microsoft JhengHei"/>
          <w:b w:val="0"/>
          <w:color w:val="667788"/>
          <w:sz w:val="14"/>
        </w:rPr>
        <w:t>本次依授權 Source Packet 的官方頁碼及評核意義摘要建稿；未重新開啟官方 PDF。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02　適用情境與權責邊界</w:t>
      </w: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7"/>
        </w:rPr>
        <w:t>訓練材料版本不一致、流程偏差、場地／設備影響訓練或紀錄缺漏等可能影響訓練品質時，可開立 I16-E02 事件。先保全事實與風險，再依證據分析原因並追蹤 CAPA。</w:t>
      </w: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7"/>
        </w:rPr>
        <w:t>本文件只擁有訓練異常處理及 CAPA 追溯事實；訓練需求、執行及成果由 I04、I12、I15 文件各自保存，共用原始資料時交叉引用，不在此重算。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異常 → 根因 → CAPA → 效果驗證閉環圖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34"/>
            <w:shd w:fill="DDEF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通報</w:t>
              <w:br/>
              <w:t>識別</w:t>
            </w:r>
          </w:p>
        </w:tc>
        <w:tc>
          <w:tcPr>
            <w:tcW w:type="dxa" w:w="25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→</w:t>
            </w:r>
          </w:p>
        </w:tc>
        <w:tc>
          <w:tcPr>
            <w:tcW w:type="dxa" w:w="1134"/>
            <w:shd w:fill="DDEF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查明</w:t>
              <w:br/>
              <w:t>根因</w:t>
            </w:r>
          </w:p>
        </w:tc>
        <w:tc>
          <w:tcPr>
            <w:tcW w:type="dxa" w:w="25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→</w:t>
            </w:r>
          </w:p>
        </w:tc>
        <w:tc>
          <w:tcPr>
            <w:tcW w:type="dxa" w:w="1134"/>
            <w:shd w:fill="DDEF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矯正＋</w:t>
              <w:br/>
              <w:t>預防</w:t>
            </w:r>
          </w:p>
        </w:tc>
        <w:tc>
          <w:tcPr>
            <w:tcW w:type="dxa" w:w="25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→</w:t>
            </w:r>
          </w:p>
        </w:tc>
        <w:tc>
          <w:tcPr>
            <w:tcW w:type="dxa" w:w="1134"/>
            <w:shd w:fill="DDEF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責任／</w:t>
              <w:br/>
              <w:t>期限</w:t>
            </w:r>
          </w:p>
        </w:tc>
        <w:tc>
          <w:tcPr>
            <w:tcW w:type="dxa" w:w="25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→</w:t>
            </w:r>
          </w:p>
        </w:tc>
        <w:tc>
          <w:tcPr>
            <w:tcW w:type="dxa" w:w="1134"/>
            <w:shd w:fill="DDEF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驗證、結案、趨勢</w:t>
            </w:r>
          </w:p>
        </w:tc>
      </w:tr>
    </w:tbl>
    <w:p>
      <w:pPr>
        <w:spacing w:after="0" w:line="264" w:lineRule="auto"/>
      </w:pPr>
      <w:r>
        <w:rPr>
          <w:rFonts w:ascii="Microsoft JhengHei" w:hAnsi="Microsoft JhengHei" w:eastAsia="Microsoft JhengHei"/>
          <w:b w:val="0"/>
          <w:color w:val="667788"/>
          <w:sz w:val="14"/>
        </w:rPr>
        <w:t>圖 1　每筆事件保留發現—原因—行動—驗證鏈；未達門檻或再發時重開並保留前次紀錄。</w:t>
      </w:r>
    </w:p>
    <w:p>
      <w:r>
        <w:br w:type="page"/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A　擬真事件案例｜教材版本標示不一致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1E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b/>
                <w:color w:val="8A3E28"/>
              </w:rPr>
            </w:r>
            <w:r>
              <w:rPr>
                <w:rFonts w:ascii="Microsoft JhengHei" w:hAnsi="Microsoft JhengHei" w:eastAsia="Microsoft JhengHei"/>
                <w:b w:val="0"/>
                <w:color w:val="243746"/>
                <w:sz w:val="17"/>
              </w:rPr>
              <w:t>本頁至第 4 頁為唯一擬真教學案例，非協會紀錄。版本、日期、風險、措施狀態及數值均須依新 register 逐項替換。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事件識別欄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擬真示例值（非事實）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正式填用欄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事件編號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SIM-I16E02-EX-01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〔填寫〕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發現時間／方式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2026-08-13 17:00；比對材料標籤發現差異。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日期時間、發現角色、通報管道與原件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情境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示例簡報 S-V0.9 與示例學習單 S-V1.0 列入擬真教材組合；無真實班次、學員或發放資料。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真實班次、材料名稱版本、接觸範圍；未核實填 WAITING_FOR_ORIGINAL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通報／初判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訓練教材控制偏差；嚴重度「中」（示例判斷）。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分級規則、理由、通知對象及原始紀錄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03　影響與風險｜區分可能影響與已證實損害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</w:t>
            </w:r>
          </w:p>
        </w:tc>
        <w:tc>
          <w:tcPr>
            <w:tcW w:type="dxa" w:w="42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擬真分析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真實查核欄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可能影響</w:t>
            </w:r>
          </w:p>
        </w:tc>
        <w:tc>
          <w:tcPr>
            <w:tcW w:type="dxa" w:w="42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不同材料可能造成教學說明或練習步驟不一致；無已證實學員影響或損害。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受影響內容／場次／對象及原始依據；不得推定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風險／圍堵</w:t>
            </w:r>
          </w:p>
        </w:tc>
        <w:tc>
          <w:tcPr>
            <w:tcW w:type="dxa" w:w="42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示例分級「中」；假設材料待發，先停止散發、隔離待比對版本並通知教材管理角色。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實際級別、標準、執行角色／時間及附件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04　立即圍堵與事實時間線</w:t>
      </w: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6"/>
        </w:rPr>
        <w:t>擬真圍堵：暫停待發材料、隔離不同版本、保留來源檔與標籤、確認範圍後再決定補正。此示例文字不是執行證明。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時間（擬真）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事件／決策（擬真）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正式案件需附同期證據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2026-08-13 17:00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發現兩份材料版本標籤不一致。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原始檔、發現紀錄；WAITING_FOR_ORIGINAL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2026-08-13 17:15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停止散發並隔離待核版本。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圍堵通知、檔案版本；WAITING_FOR_ORIGINAL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2026-08-14 11:00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完成原因分析；交叉核對為控制缺口。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流程／文件證據；不得補造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2026-08-18 17:00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矯正措施到期。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修訂前後檔及覆核原件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2026-08-20 17:00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預防措施到期。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表單、生效及實際演練原件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2026-09-12 17:00</w:t>
            </w:r>
          </w:p>
        </w:tc>
        <w:tc>
          <w:tcPr>
            <w:tcW w:type="dxa" w:w="38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效果驗證與示例觀察窗結束。</w:t>
            </w:r>
          </w:p>
        </w:tc>
        <w:tc>
          <w:tcPr>
            <w:tcW w:type="dxa" w:w="43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抽核母體、樣本、原始結果</w:t>
            </w:r>
          </w:p>
        </w:tc>
      </w:tr>
    </w:tbl>
    <w:p>
      <w:pPr>
        <w:spacing w:after="0"/>
      </w:pPr>
    </w:p>
    <w:p>
      <w:pPr>
        <w:spacing w:after="0" w:line="264" w:lineRule="auto"/>
      </w:pPr>
      <w:r>
        <w:rPr>
          <w:rFonts w:ascii="Microsoft JhengHei" w:hAnsi="Microsoft JhengHei" w:eastAsia="Microsoft JhengHei"/>
          <w:b/>
          <w:color w:val="8A3E28"/>
          <w:sz w:val="15"/>
        </w:rPr>
        <w:t>問題何時被發現？本例為擬真時間 2026-08-13 17:00；正式案件填同期通報或紀錄時間，不能以回憶替代原件。</w:t>
      </w:r>
    </w:p>
    <w:p>
      <w:r>
        <w:br w:type="page"/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B　根因、矯正預防與效果驗證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1E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b/>
                <w:color w:val="8A3E28"/>
              </w:rPr>
            </w:r>
            <w:r>
              <w:rPr>
                <w:rFonts w:ascii="Microsoft JhengHei" w:hAnsi="Microsoft JhengHei" w:eastAsia="Microsoft JhengHei"/>
                <w:b w:val="0"/>
                <w:color w:val="243746"/>
                <w:sz w:val="17"/>
              </w:rPr>
              <w:t>以下仍為 SYNTHETIC EXAMPLE。責任代碼不是實際任命；模擬完成不是核准、簽章或執行證明。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05　根因分析｜由可核對原因導出控制措施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追問</w:t>
            </w:r>
          </w:p>
        </w:tc>
        <w:tc>
          <w:tcPr>
            <w:tcW w:type="dxa" w:w="45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本例擬真分析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真實證據／覆核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為何材料資訊不一致？</w:t>
            </w:r>
          </w:p>
        </w:tc>
        <w:tc>
          <w:tcPr>
            <w:tcW w:type="dxa" w:w="45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示例設定：兩份教材各自編修，版本標籤未同步。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版本檔及差異比對；待原件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為何發放前未發現？</w:t>
            </w:r>
          </w:p>
        </w:tc>
        <w:tc>
          <w:tcPr>
            <w:tcW w:type="dxa" w:w="45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發布檢核未要求核對同一組材料的共同版本識別。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原始檢核表／發布紀錄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根因判定</w:t>
            </w:r>
          </w:p>
        </w:tc>
        <w:tc>
          <w:tcPr>
            <w:tcW w:type="dxa" w:w="45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示例假設：缺少共同版本碼及發布前雙檔交叉覆核的強制關卡。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5"/>
              </w:rPr>
              <w:t>需事實依據、替代原因排除及覆核人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06　矯正／預防行動、責任與期限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類別／連結</w:t>
            </w:r>
          </w:p>
        </w:tc>
        <w:tc>
          <w:tcPr>
            <w:tcW w:type="dxa" w:w="49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擬真措施、角色及期限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擬真狀態／真實可接受證據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矯正｜修復本次偏差</w:t>
            </w:r>
          </w:p>
        </w:tc>
        <w:tc>
          <w:tcPr>
            <w:tcW w:type="dxa" w:w="49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停止使用不同版本；整併為 PAIR-S-1.1，逐項核對材料。角色 S-OWNER-01。期限 2026-08-18 17:00。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僅示例模擬完成。正式案件附修訂檔、差異紀錄、覆核及發布原件。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預防｜消除系統原因</w:t>
            </w:r>
          </w:p>
        </w:tc>
        <w:tc>
          <w:tcPr>
            <w:tcW w:type="dxa" w:w="49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發布檢核增加共同版本碼、雙檔交叉核對與覆核欄；未完成不得放行。角色 S-OWNER-02。期限 2026-08-20 17:00。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僅示例模擬完成。正式案件附生效表單、實際教育／演練及抽查原件。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07　效果驗證｜時間與資料須可重算</w:t>
      </w: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6"/>
        </w:rPr>
        <w:t>示例驗證窗：2026-08-13 17:00 至 2026-09-12 17:00，兩時間戳相差 30 個完整日（30 × 24 = 720 小時）；沒有把 29 個經過日稱作 30 日。含首日計數須另標明，不能混作 elapsed time。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驗證項目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擬真方法與結果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正式判定／升格證據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版本一致性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抽核 3 組假設教材配對；3/3 一致，3 ÷ 3 = 100%。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母體、抽樣、每筆原始版本、覆核者及預設門檻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再發檢查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示例觀察窗內 0 件重複；樣本僅 1 件示例結案案件。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同類事件搜尋條件、期間、母體、原始結果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時間核算</w:t>
            </w:r>
          </w:p>
        </w:tc>
        <w:tc>
          <w:tcPr>
            <w:tcW w:type="dxa" w:w="4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2026-08-13 17:00 → 2026-09-12 17:00 = 30 天 = 720 小時。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實際時間戳、時區、口徑及第二人覆算</w:t>
            </w:r>
          </w:p>
        </w:tc>
      </w:tr>
    </w:tbl>
    <w:p>
      <w:pPr>
        <w:spacing w:after="0"/>
      </w:pPr>
    </w:p>
    <w:p>
      <w:pPr>
        <w:spacing w:after="0" w:line="264" w:lineRule="auto"/>
      </w:pPr>
      <w:r>
        <w:rPr>
          <w:rFonts w:ascii="Microsoft JhengHei" w:hAnsi="Microsoft JhengHei" w:eastAsia="Microsoft JhengHei"/>
          <w:b w:val="0"/>
          <w:color w:val="52697A"/>
          <w:sz w:val="15"/>
        </w:rPr>
        <w:t>真正根因是什麼？本例僅為版本交叉核對缺少強制關卡的假設。措施能否防止再發、用什麼資料證明有效？須以門檻、抽樣母體、原始證據及追蹤窗回答；未達標或再發即重開 CAPA。</w:t>
      </w:r>
    </w:p>
    <w:p>
      <w:pPr>
        <w:sectPr>
          <w:headerReference w:type="default" r:id="rId9"/>
          <w:footerReference w:type="default" r:id="rId10"/>
          <w:pgSz w:w="11906" w:h="16838"/>
          <w:pgMar w:top="822" w:right="879" w:bottom="794" w:left="879" w:header="312" w:footer="312" w:gutter="0"/>
          <w:cols w:space="720"/>
          <w:docGrid w:linePitch="360"/>
        </w:sectPr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C　結案、趨勢與 I16-E02 專屬追溯</w:t>
      </w: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6"/>
        </w:rPr>
        <w:t>擬真結案欄僅示範計算；正式案件須待真實核准人及原件到位。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結案欄位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擬真示例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正式使用欄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期限／結案時點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2026-09-12 17:00／同時點；僅為示例。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期限、結案時間及依據；WAITING_FOR_ORIGINAL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效果判定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3/3 配對一致、0 件觀察窗內再發；達示例門檻。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實際指標、來源、門檻及判斷理由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結案決定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示例建議結案；不構成協會核准。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核准人姓名角色、日期、簽核原件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未結／重開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未達標、資料不足、觀察窗未滿或再發：維持開啟／重開。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重開編號、追加措施、責任及期限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08　趨勢指標｜示例僅說明口徑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公式及擬真代入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正式解讀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準時結案率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期限內結案件數 ÷ 到期案件；示例 1 ÷ 1 = 100%。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明訂期間、到期母體、排除／重開口徑。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再發率</w:t>
            </w:r>
          </w:p>
        </w:tc>
        <w:tc>
          <w:tcPr>
            <w:tcW w:type="dxa" w:w="57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觀察窗內重複事件 ÷ 同窗已結案件；示例 0 ÷ 1 = 0%。</w:t>
            </w:r>
          </w:p>
        </w:tc>
        <w:tc>
          <w:tcPr>
            <w:tcW w:type="dxa" w:w="6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定義事件同類規則、追蹤窗與來源；分母 0 填 N/A。</w:t>
            </w:r>
          </w:p>
        </w:tc>
      </w:tr>
    </w:tbl>
    <w:p>
      <w:pPr>
        <w:spacing w:after="0"/>
      </w:pP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8A3E28"/>
          <w:sz w:val="15"/>
        </w:rPr>
        <w:t>示例數值不可用於年度實績或對外宣稱。年度彙整須留存母體、結案日期、再發判斷依據及覆核紀錄。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09　要求—資料來源—欄位／指標—結果—證據位置—覆核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要求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資料來源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欄位／指標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證據位置</w:t>
            </w:r>
          </w:p>
        </w:tc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官方方框：「訓練異常處理方法、 紀錄與工具。」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Source Packet 所引官方佐證表 p.5；本次未重開 PDF。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識別、風險、圍堵、根因、CAPA、驗證、結案、趨勢。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提供可填工具及擬真案例；真實紀錄待原件。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本文件 A–C 節及空白表。</w:t>
            </w:r>
          </w:p>
        </w:tc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待實際承辦／覆核；WAITING_FOR_ORIGINAL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評核意義 0–3 層次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Source Packet 所引評核表 p.3。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程序、紀錄、因應、全程管控、年度彙整、防再發。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呈現欄位對應；未評分、未通過。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第 1 頁直接回應表。</w:t>
            </w:r>
          </w:p>
        </w:tc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正式評核者依原件判定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發現與驗證時間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擬真時間戳，非外部證據。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2026-08-13 17:00 至 2026-09-12 17:00；30 日／720 小時。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精確相差 30 日；未稱 29 日為 30 日。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第 2–3 頁。</w:t>
            </w:r>
          </w:p>
        </w:tc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正式案件由第二人覆算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CAPA 效果／再發率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擬真假設材料及觀察窗。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3/3 一致；0/1 再發；詳第 3–4 頁。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合成數據僅示範公式；真實成效未核實。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第 3–4 頁；附件待填。</w:t>
            </w:r>
          </w:p>
        </w:tc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待真實覆核人及同期證據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準時結案率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擬真期限與案件。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到期 1；期限內結案 1；1/1=100%。</w:t>
            </w:r>
          </w:p>
        </w:tc>
        <w:tc>
          <w:tcPr>
            <w:tcW w:type="dxa" w:w="2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合成示例，不是協會統計。</w:t>
            </w:r>
          </w:p>
        </w:tc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第 4 頁；正式台帳待填。</w:t>
            </w:r>
          </w:p>
        </w:tc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3"/>
              </w:rPr>
              <w:t>核對實際母體、期限與原件</w:t>
            </w:r>
          </w:p>
        </w:tc>
      </w:tr>
    </w:tbl>
    <w:p>
      <w:pPr>
        <w:spacing w:after="0"/>
      </w:pPr>
    </w:p>
    <w:p>
      <w:pPr>
        <w:spacing w:after="0" w:line="264" w:lineRule="auto"/>
      </w:pPr>
      <w:r>
        <w:rPr>
          <w:rFonts w:ascii="Microsoft JhengHei" w:hAnsi="Microsoft JhengHei" w:eastAsia="Microsoft JhengHei"/>
          <w:b w:val="0"/>
          <w:color w:val="667788"/>
          <w:sz w:val="14"/>
        </w:rPr>
        <w:t>前版來源／讀取清單缺口另標示 LEGACY_PROVENANCE_GAP；未推測或補造前版建置經過。</w:t>
      </w:r>
    </w:p>
    <w:p>
      <w:pPr>
        <w:sectPr>
          <w:pgSz w:w="16838" w:h="11906" w:orient="landscape"/>
          <w:pgMar w:top="822" w:right="879" w:bottom="794" w:left="879" w:header="312" w:footer="312" w:gutter="0"/>
          <w:cols w:space="720"/>
          <w:docGrid w:linePitch="360"/>
        </w:sectPr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D　空白可用紀錄表｜第一頁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b/>
                <w:color w:val="17324D"/>
              </w:rPr>
            </w:r>
            <w:r>
              <w:rPr>
                <w:rFonts w:ascii="Microsoft JhengHei" w:hAnsi="Microsoft JhengHei" w:eastAsia="Microsoft JhengHei"/>
                <w:b w:val="0"/>
                <w:color w:val="243746"/>
                <w:sz w:val="17"/>
              </w:rPr>
              <w:t>正式填用前移除所有擬真案例；取得同期原件；填真實角色及核准。無資料填 WAITING_FOR_ORIGINAL，不得以空白掩蓋缺口。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實際紀錄（填寫）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事件編號／狀態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　□開啟 □觀察 □待覆核 □結案 □重開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要求定位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I16-E02｜訓練異常處理方法、 紀錄與工具。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發現／通報時間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日期時間時區：＿＿＿＿＿＿＿＿　通報方式：＿＿＿＿＿＿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班次／課程／材料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真實班次、課程、材料與版本；未核實填 WAITING_FOR_ORIGINAL。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通報人／承辦角色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姓名角色：＿＿＿＿＿＿　通知對象／時間：＿＿＿＿　原件位置：＿＿＿＿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問題何時被發現？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日期時間、發現角色、管道及同期證據：＿＿＿＿＿＿＿＿＿＿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偏差／基準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觀察事實、核定基準、差異及證據編號：＿＿＿＿＿＿＿＿＿＿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範圍／風險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受影響場次對象、嚴重度、理由、已證實影響與可能風險：＿＿＿＿＿＿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立即圍堵</w:t>
            </w:r>
          </w:p>
        </w:tc>
        <w:tc>
          <w:tcPr>
            <w:tcW w:type="dxa" w:w="75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停止／隔離／通知／保全措施、責任角色、時間及原件位置：＿＿＿＿＿＿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事實時間線｜每列一項；時間戳和來源可覆核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日期時間／時區</w:t>
            </w:r>
          </w:p>
        </w:tc>
        <w:tc>
          <w:tcPr>
            <w:tcW w:type="dxa" w:w="374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事實／決策／執行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原件位置</w:t>
            </w:r>
          </w:p>
        </w:tc>
        <w:tc>
          <w:tcPr>
            <w:tcW w:type="dxa" w:w="19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記錄／覆核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</w:t>
            </w:r>
          </w:p>
        </w:tc>
        <w:tc>
          <w:tcPr>
            <w:tcW w:type="dxa" w:w="374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19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</w:t>
            </w:r>
          </w:p>
        </w:tc>
        <w:tc>
          <w:tcPr>
            <w:tcW w:type="dxa" w:w="374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19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</w:t>
            </w:r>
          </w:p>
        </w:tc>
        <w:tc>
          <w:tcPr>
            <w:tcW w:type="dxa" w:w="374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19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</w:tr>
    </w:tbl>
    <w:p>
      <w:pPr>
        <w:spacing w:after="0"/>
      </w:pPr>
    </w:p>
    <w:p>
      <w:pPr>
        <w:spacing w:after="0" w:line="264" w:lineRule="auto"/>
      </w:pPr>
      <w:r>
        <w:rPr>
          <w:rFonts w:ascii="Microsoft JhengHei" w:hAnsi="Microsoft JhengHei" w:eastAsia="Microsoft JhengHei"/>
          <w:b w:val="0"/>
          <w:color w:val="52697A"/>
          <w:sz w:val="15"/>
        </w:rPr>
        <w:t>計時：起點＿＿＿＿　終點＿＿＿＿　相差＿＿日／＿＿小時；計數口徑＿＿＿＿；覆算人＿＿＿＿。含首日與 elapsed time 分開標示。</w:t>
      </w:r>
    </w:p>
    <w:p>
      <w:r>
        <w:br w:type="page"/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E　空白可用紀錄表｜第二頁：CAPA、驗證與升格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根因分析｜以事實支持，不把假設當根因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6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分析欄</w:t>
            </w:r>
          </w:p>
        </w:tc>
        <w:tc>
          <w:tcPr>
            <w:tcW w:type="dxa" w:w="71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實際分析與證據定位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表面問題／直接原因</w:t>
            </w:r>
          </w:p>
        </w:tc>
        <w:tc>
          <w:tcPr>
            <w:tcW w:type="dxa" w:w="71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＿＿＿＿＿＿＿＿＿＿＿＿＿＿＿＿＿＿＿＿＿＿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為何未預防／未及時發現？</w:t>
            </w:r>
          </w:p>
        </w:tc>
        <w:tc>
          <w:tcPr>
            <w:tcW w:type="dxa" w:w="71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＿＿＿＿＿＿＿＿＿＿＿＿＿＿＿＿＿＿＿＿＿＿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根因及替代原因排除</w:t>
            </w:r>
          </w:p>
        </w:tc>
        <w:tc>
          <w:tcPr>
            <w:tcW w:type="dxa" w:w="71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　佐證＿＿＿＿＿＿＿＿＿＿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真正根因是什麼？</w:t>
            </w:r>
          </w:p>
        </w:tc>
        <w:tc>
          <w:tcPr>
            <w:tcW w:type="dxa" w:w="71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結論＿＿＿＿＿＿　依據＿＿＿＿＿＿　覆核＿＿＿＿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矯正／預防行動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類型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措施與預期控制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責任角色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期限</w:t>
            </w:r>
          </w:p>
        </w:tc>
        <w:tc>
          <w:tcPr>
            <w:tcW w:type="dxa" w:w="21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完成證據／狀態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矯正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＿＿＿＿＿＿＿＿＿＿＿＿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21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預防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＿＿＿＿＿＿＿＿＿＿＿＿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21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追加／重開</w:t>
            </w:r>
          </w:p>
        </w:tc>
        <w:tc>
          <w:tcPr>
            <w:tcW w:type="dxa" w:w="35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＿＿＿＿＿＿＿＿＿＿＿＿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12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</w:t>
            </w:r>
          </w:p>
        </w:tc>
        <w:tc>
          <w:tcPr>
            <w:tcW w:type="dxa" w:w="21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＿＿＿＿＿＿</w:t>
            </w:r>
          </w:p>
        </w:tc>
      </w:tr>
    </w:tbl>
    <w:p>
      <w:pPr>
        <w:spacing w:after="0"/>
      </w:pP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效果驗證｜先定門檻，再收集結果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問題／項目</w:t>
            </w:r>
          </w:p>
        </w:tc>
        <w:tc>
          <w:tcPr>
            <w:tcW w:type="dxa" w:w="74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實際填寫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措施能否防止再發？</w:t>
            </w:r>
          </w:p>
        </w:tc>
        <w:tc>
          <w:tcPr>
            <w:tcW w:type="dxa" w:w="74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指標＿＿　來源／母體＿＿　抽樣方法／樣本＿＿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門檻／未達處置</w:t>
            </w:r>
          </w:p>
        </w:tc>
        <w:tc>
          <w:tcPr>
            <w:tcW w:type="dxa" w:w="74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目標＿＿　通過條件＿＿　未達／再發後處置及新期限＿＿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觀察窗／計時</w:t>
            </w:r>
          </w:p>
        </w:tc>
        <w:tc>
          <w:tcPr>
            <w:tcW w:type="dxa" w:w="74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起始時間時區＿＿　驗證結束時間時區＿＿　經過＿＿日＿＿小時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用什麼資料證明有效？</w:t>
            </w:r>
          </w:p>
        </w:tc>
        <w:tc>
          <w:tcPr>
            <w:tcW w:type="dxa" w:w="74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原始測量、樣本清單、覆核者、再發搜尋及證據位置＿＿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結果／驗證人</w:t>
            </w:r>
          </w:p>
        </w:tc>
        <w:tc>
          <w:tcPr>
            <w:tcW w:type="dxa" w:w="74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結果＿＿　原件位置＿＿　驗證人姓名角色及日期＿＿</w:t>
            </w:r>
          </w:p>
        </w:tc>
      </w:tr>
    </w:tbl>
    <w:p>
      <w:pPr>
        <w:spacing w:after="0"/>
      </w:pP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4"/>
        </w:rPr>
        <w:t>結案期限＿＿＿　實際結案日＿＿＿　決定＿＿＿　核准人姓名／角色＿＿＿　簽核原件位置＿＿＿；未取得填 WAITING_FOR_ORIGINAL。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0F5C66"/>
          <w:sz w:val="22"/>
        </w:rPr>
        <w:t>趨勢口徑與真實升格檢核</w:t>
      </w:r>
    </w:p>
    <w:p>
      <w:pPr>
        <w:spacing w:after="60" w:line="264" w:lineRule="auto"/>
      </w:pPr>
      <w:r>
        <w:rPr>
          <w:rFonts w:ascii="Microsoft JhengHei" w:hAnsi="Microsoft JhengHei" w:eastAsia="Microsoft JhengHei"/>
          <w:b w:val="0"/>
          <w:color w:val="243746"/>
          <w:sz w:val="14"/>
        </w:rPr>
        <w:t>準時結案率＝期限內結案／本期到期＝＿＿／＿＿＝＿＿％。再發率＝觀察窗內重複事件／同窗已結案＝＿＿／＿＿＝＿＿％；分母為 0 填 N/A。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73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升格前逐項核實</w:t>
            </w:r>
          </w:p>
        </w:tc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24D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正式日期、真實班次／課程／場地／材料及同期異常原件。</w:t>
            </w:r>
          </w:p>
        </w:tc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□核實　□WAITING_FOR_ORIGINAL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真實人名角色、責任分工、通知對象、核准及簽章原件。</w:t>
            </w:r>
          </w:p>
        </w:tc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□核實　□WAITING_FOR_ORIGINAL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分子分母、比例、期限、時間戳、抽樣母體、結果及覆算。</w:t>
            </w:r>
          </w:p>
        </w:tc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□核實　□WAITING_FOR_ORIGINAL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附件位置；學員紀錄、成績、照片、心得、第三方文件須取得原件，不得代造。</w:t>
            </w:r>
          </w:p>
        </w:tc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□核實　□WAITING_FOR_ORIGINAL</w:t>
            </w:r>
          </w:p>
        </w:tc>
      </w:tr>
      <w:tr>
        <w:trPr>
          <w:cantSplit/>
        </w:trPr>
        <w:tc>
          <w:tcPr>
            <w:tcW w:type="dxa" w:w="73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逐項處理新 SYNTHETIC_REPLACEMENT_REGISTER.csv，移除示例後真人審核。</w:t>
            </w:r>
          </w:p>
        </w:tc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4"/>
              </w:rPr>
              <w:t>□完成　□未完成</w:t>
            </w:r>
          </w:p>
        </w:tc>
      </w:tr>
    </w:tbl>
    <w:p>
      <w:pPr>
        <w:spacing w:after="0"/>
      </w:pPr>
    </w:p>
    <w:p>
      <w:pPr>
        <w:spacing w:after="0" w:line="264" w:lineRule="auto"/>
      </w:pPr>
      <w:r>
        <w:rPr>
          <w:rFonts w:ascii="Microsoft JhengHei" w:hAnsi="Microsoft JhengHei" w:eastAsia="Microsoft JhengHei"/>
          <w:b w:val="0"/>
          <w:color w:val="52697A"/>
          <w:sz w:val="14"/>
        </w:rPr>
        <w:t>待補：真實班次／日期、同期事件紀錄、責任人、CAPA 執行與效果、核准簽章及附件定位。I04、I12、I15 僅作必要交叉引用。</w:t>
      </w:r>
    </w:p>
    <w:sectPr w:rsidR="00FC693F" w:rsidRPr="0006063C" w:rsidSect="00034616">
      <w:pgSz w:w="11906" w:h="16838"/>
      <w:pgMar w:top="822" w:right="879" w:bottom="794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788"/>
        <w:sz w:val="14"/>
      </w:rPr>
      <w:t>QP004-R0-0071-R01｜工作稿；非實績或核准證明</w:t>
    </w:r>
    <w:r>
      <w:rPr>
        <w:rFonts w:ascii="Microsoft JhengHei" w:hAnsi="Microsoft JhengHei" w:eastAsia="Microsoft JhengHei"/>
        <w:b w:val="0"/>
        <w:color w:val="667788"/>
        <w:sz w:val="14"/>
      </w:rPr>
      <w:t xml:space="preserve">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/>
        <w:color w:val="52697A"/>
        <w:sz w:val="15"/>
      </w:rPr>
      <w:t>社團法人屏東縣原始點關懷協會　｜　I16-E02　　　　　　　　 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