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異常通報暨 CAPA 矯正預防紀錄</w:t>
      </w:r>
    </w:p>
    <w:p>
      <w:r>
        <w:rPr>
          <w:b/>
          <w:sz w:val="24"/>
        </w:rPr>
        <w:t>指標 16｜I16-E02｜文件 02</w:t>
      </w:r>
    </w:p>
    <w:p>
      <w:r>
        <w:t>官方要求：「訓練異常處理方法、 紀錄與工具。」</w:t>
      </w:r>
    </w:p>
    <w:p>
      <w:r>
        <w:rPr>
          <w:b/>
        </w:rPr>
        <w:t>文件狀態：DRAFT_SYNTHETIC｜工作稿 0.4｜本件為可編輯紀錄範本，不是協會事件、核定程序或實際成效。</w:t>
      </w:r>
    </w:p>
    <w:p>
      <w:r>
        <w:t>用途：記錄單一異常從發現、風險、圍堵、根因、矯正與預防到效果驗證的閉環。程序規則由 I16-E02 文件 01 承接；本件只記錄個案及可回查欄位。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8"/>
              </w:rPr>
              <w:t>基本欄位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8"/>
              </w:rPr>
              <w:t>本件內容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協會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文件狀態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DRAFT_SYNTHETIC；真實異常與核准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要求範圍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訓練異常通報、紀錄、矯正預防及效果驗證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核心方向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健康教育及傳統整復推拿技術；其他課程依實際需求、資源、法規及品質條件評估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真實事件狀態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未提供事件原件；本稿情境與數值均為 SYNTHETIC EXAMPLE</w:t>
            </w:r>
          </w:p>
        </w:tc>
      </w:tr>
    </w:tbl>
    <w:p/>
    <w:p>
      <w:pPr>
        <w:pStyle w:val="Heading1"/>
      </w:pPr>
      <w:r>
        <w:t>使用界線</w:t>
      </w:r>
    </w:p>
    <w:p>
      <w:r>
        <w:t>以下以教材版本不一致的假設情境示範欄位與算法，不代表協會已開班、發生異常、執行CAPA或完成效果驗證。未取得的班次、責任人、簽章、原始紀錄及核定一律維持 WAITING_FOR_ORIGINAL；不得把示例列為實績。</w:t>
      </w:r>
    </w:p>
    <w:p>
      <w:r>
        <w:t>第三方證明、學員原始紀錄、評價、照片、簽章或核准文件只能附上真實原件，本表不生成替代原件。</w:t>
      </w:r>
    </w:p>
    <w:p>
      <w:pPr>
        <w:pStyle w:val="Heading1"/>
      </w:pPr>
      <w:r>
        <w:t>1. 事件識別與直接回應</w:t>
      </w:r>
    </w:p>
    <w:p>
      <w:r>
        <w:t>I16-E02要求的直接證據是具體異常紀錄及可用工具。本件以事件識別欄、風險與圍堵紀錄、八欄CAPA表、效果計算、追溯表及空白填寫區回應；所有示例結果皆清楚標示為合成資料。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識別欄位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SYNTHETIC EXAMPLE｜不是協會紀錄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正式使用時須填真實原件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事件編號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SYN-CAPA-0071-05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受控通報編號 WAITING_FOR_ORIGINAL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發現時間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原始通報時間及紀錄位置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情境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課前發行檢核發現設備安全檢核卡 v2.2 與受控母檔 v2.3 不一致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真實班次、文件版本及發現方式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分布狀態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假設尚未發給參與者；隔離舊卡3份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領用、發放、簽收及受影響人數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案件狀態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示例結案；協會真實結案 WAITING_FOR_ORIGINAL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真實責任人、日期、核准及證據</w:t>
            </w:r>
          </w:p>
        </w:tc>
      </w:tr>
    </w:tbl>
    <w:p/>
    <w:p>
      <w:pPr>
        <w:pStyle w:val="Heading1"/>
      </w:pPr>
      <w:r>
        <w:t>2. 影響與風險判定</w:t>
      </w:r>
    </w:p>
    <w:p>
      <w:r>
        <w:t>示例影響：若舊版設備安全檢核卡被發出，可能造成課前注意事項不一致。情境假設在發放前攔截，未涉及真人或實際課程；這是示範設定，不是零事故實績。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風險項目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示例判讀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真實核實資料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嚴重度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第1級／低度（示例分級，非協會核定尺度）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適用風險分級規則及核定者 WAITING_FOR_ORIGINAL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可能影響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教材版本不同，可能使安全說明出現差異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受影響班次、教材、學員及授課者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已知暴露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示例假設0人收到；舊卡3份在發放前隔離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原始發放／回收紀錄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升級條件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若有外流、實際安全疑慮或第三方影響，依正式程序升級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通報、聯繫、處置及核准原件</w:t>
            </w:r>
          </w:p>
        </w:tc>
      </w:tr>
    </w:tbl>
    <w:p/>
    <w:p>
      <w:pPr>
        <w:pStyle w:val="Heading1"/>
      </w:pPr>
      <w:r>
        <w:t>3. 立即圍堵與處置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時間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示例動作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確認點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原始證據狀態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停止發放並標記舊版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現場與列印佇列暫停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14:22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隔離3份 v2.2 卡片，清除待印舊檔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清點數量與檔名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核對後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對照受控母檔 v2.3；經覆核後才可重新發行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版本號、內容及發行清單一致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</w:tbl>
    <w:p/>
    <w:p>
      <w:r>
        <w:t>表內日期、份數、檔案版本及動作均為示例。真實事件須保留原始版本、發放範圍、回收數量、停止時間及決策者。</w:t>
      </w:r>
    </w:p>
    <w:p>
      <w:pPr>
        <w:pStyle w:val="Heading1"/>
      </w:pPr>
      <w:r>
        <w:t>4. 事實時間線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時間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事件／決策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狀態與證據定位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發現設備安全檢核卡版本不一致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合成案例；真實通報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14:22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停止發放並隔離舊版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合成案例；真實圍堵紀錄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2026-05-13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比對版本登錄、列印佇列及發行流程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示例分析步驟；原始檔案紀錄待補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2026-05-16 15:30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示例措施完成並進入效果監測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合成日期；真實完成證據 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2026-06-15 15:30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30日效果檢視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與示例結案時間相隔30個完整日／720小時；非實際驗證</w:t>
            </w:r>
          </w:p>
        </w:tc>
      </w:tr>
    </w:tbl>
    <w:p/>
    <w:p>
      <w:pPr>
        <w:sectPr>
          <w:footerReference w:type="default" r:id="rId9"/>
          <w:pgSz w:w="11909" w:h="16834"/>
          <w:pgMar w:top="936" w:right="1008" w:bottom="936" w:left="1008" w:header="547" w:footer="547" w:gutter="0"/>
          <w:cols w:space="720"/>
          <w:docGrid w:linePitch="360"/>
        </w:sectPr>
      </w:pPr>
    </w:p>
    <w:p>
      <w:pPr>
        <w:pStyle w:val="Heading1"/>
      </w:pPr>
      <w:r>
        <w:t>5. 根因分析</w:t>
      </w:r>
    </w:p>
    <w:p>
      <w:r>
        <w:t>示例根因：共用資料夾與列印佇列未以唯一受控母檔發行，發行檢核也沒有強制核對版本號，因而使舊版仍可被取用。此為虛構案例的假設根因；協會真實根因須以版本紀錄、權限、列印記錄及訪談等原件分析，未核實前不得稱為已證實原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分析層次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示例分析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真實驗證線索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現象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待印版本與受控母檔版本不同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檔案版本、時間戳、列印佇列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流程缺口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未設唯一發布入口與舊版停用點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程序、權限及發行清單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控制根因假設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版本檢核未列為發行前必要控制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核定版檢核表、執行紀錄及覆核證據</w:t>
            </w:r>
          </w:p>
        </w:tc>
      </w:tr>
    </w:tbl>
    <w:p/>
    <w:p>
      <w:pPr>
        <w:pStyle w:val="Heading1"/>
      </w:pPr>
      <w:r>
        <w:t>6. 事件—嚴重度—根因—矯正—預防—責任—期限—驗證表</w:t>
      </w:r>
    </w:p>
    <w:p>
      <w:r>
        <w:t>下表為I16-E02專屬核心紀錄；八項欄位同列於一張可編輯表格。下列唯一資料列是合成示例，不是協會現況。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1"/>
        <w:gridCol w:w="1931"/>
        <w:gridCol w:w="1931"/>
        <w:gridCol w:w="1931"/>
        <w:gridCol w:w="1931"/>
        <w:gridCol w:w="1931"/>
        <w:gridCol w:w="1931"/>
        <w:gridCol w:w="1931"/>
      </w:tblGrid>
      <w:tr>
        <w:trPr>
          <w:cantSplit/>
          <w:tblHeader w:val="true"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事件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嚴重度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根因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矯正措施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預防措施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責任角色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完成期限</w:t>
            </w:r>
          </w:p>
        </w:tc>
        <w:tc>
          <w:tcPr>
            <w:tcW w:type="dxa" w:w="2779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效果驗證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課前設備安全檢核卡版本不一致；舊版3份待發。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第1級／低度；示例分級。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假設共用位置及列印佇列沒有唯一受控版本；發行前未核對版本。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停止發放；隔離舊版；清除待印檔；核對母檔後重印。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設單一唯讀母檔、版本登錄及列印前雙欄檢核；舊版移入封存區。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教材管理角色；獨立覆核角色。均為職能稱謂，非真人。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2026-05-18 17:00；示例期限。</w:t>
            </w:r>
          </w:p>
        </w:tc>
        <w:tc>
          <w:tcPr>
            <w:tcW w:type="dxa" w:w="2779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示例於05-16 15:30結案；至06-15 15:30監測30日／720小時。4次版次檢核均無差異；日期（合成）：2026-05-23、2026-06-01、2026-06-08、2026-06-15；再發0件。</w:t>
            </w:r>
          </w:p>
        </w:tc>
      </w:tr>
    </w:tbl>
    <w:p/>
    <w:p>
      <w:r>
        <w:t>本表各欄須以同一事件編號連結：原始通報 → 嚴重度與影響 → 證據支持的根因 → 矯正與預防 → 責任及期限 → 效果驗證。空白欄不可推定已完成；無來源的根因或效果標記為待查。</w:t>
      </w:r>
    </w:p>
    <w:p>
      <w:pPr>
        <w:sectPr>
          <w:pgSz w:w="16834" w:h="11909" w:orient="landscape"/>
          <w:pgMar w:top="749" w:right="691" w:bottom="749" w:left="691" w:header="547" w:footer="547" w:gutter="0"/>
          <w:cols w:space="720"/>
          <w:docGrid w:linePitch="360"/>
        </w:sectPr>
      </w:pPr>
    </w:p>
    <w:p>
      <w:pPr>
        <w:pStyle w:val="Heading1"/>
      </w:pPr>
      <w:r>
        <w:t>7. 矯正、預防與可直接使用紀錄欄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措施類型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示例內容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責任／期限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真實完成證據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立即矯正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隔離舊版、核對受控母檔，必要時重印正確版本。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教材管理角色；2026-05-18前（示例）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收回清單、核對表、發行紀錄 WAITING_FOR_ORIGINAL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根因矯正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建立唯一發布入口，撤除共用資料夾內可誤取的舊版。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資料管理角色（非真人）；示例期限待核定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權限、封存及版本紀錄 WAITING_FOR_ORIGINAL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預防措施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每次列印前核對文件名稱、版次、有效日期及核准狀態；由另一角色覆核。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教材管理＋覆核角色（非真人）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完成檢核表及抽查記錄 WAITING_FOR_ORIGINAL</w:t>
            </w:r>
          </w:p>
        </w:tc>
      </w:tr>
    </w:tbl>
    <w:p/>
    <w:p>
      <w:pPr>
        <w:pStyle w:val="Heading1"/>
      </w:pPr>
      <w:r>
        <w:t>8. 效果驗證與計算口徑</w:t>
      </w:r>
    </w:p>
    <w:p>
      <w:r>
        <w:t>期限內結案率＝期限內結案案件 ÷ 本期到期案件 × 100%；再發率＝監測期間重複事件 ÷ 已結案事件 × 100%。本單一示例案件不足以形成期間整體分子與分母，因此不填期間率；四次版本檢核是本案效果證據，不等同整體再發率。正式彙整須保持事件分類、分母及監測期間一致；分母為0時記「不適用」，不得填0%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驗證項目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示例分子／分母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示例結果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正式證據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準時結案率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期限內結案案件 ÷ 本期到期案件 × 100%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期間分子／分母 WAITING_FOR_ORIGINAL；本例個案於示例期限前完成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到期清冊、期限、完成日期及覆核紀錄 WAITING_FOR_ORIGINAL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再發率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監測期間重複事件 ÷ 已結案事件 × 100%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期間案件清冊不足；不填整體比率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事件分類、結案台帳及監測紀錄 WAITING_FOR_ORIGINAL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本案版本一致性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4次示例檢核，0次版次不一致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0/4（SYNTHETIC）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發布檢核表、受控母檔及取用紀錄 WAITING_FOR_ORIGINAL</w:t>
            </w:r>
          </w:p>
        </w:tc>
      </w:tr>
    </w:tbl>
    <w:p/>
    <w:p>
      <w:r>
        <w:t>示例檢核日期（均為合成）：2026-05-23、2026-06-01、2026-06-08、2026-06-15，分別為結案後第7、16、23、30日。正式檢核以原始紀錄為準。以上只示範算法，不是協會品質數據；正式彙整依核定分類、期間、分母與效果窗口執行。</w:t>
      </w:r>
    </w:p>
    <w:p>
      <w:pPr>
        <w:pStyle w:val="Heading1"/>
      </w:pPr>
      <w:r>
        <w:t>9. 結案與趨勢檢視</w:t>
      </w:r>
    </w:p>
    <w:p>
      <w:r>
        <w:t>示例結案條件：圍堵範圍已確認、舊版已停用、受控版本經覆核、預防控制已建立，且30日監測未見重複。這些條件僅供工具示範；本文件未獲協會核准，也沒有任何真人核定或簽章。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結案欄位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應填內容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目前真實狀態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事件定義與嚴重度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事件類型、影響範圍、分級依據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根因覆核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支持或排除根因的原始證據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措施完成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矯正／預防項目、責任者、完成時間及佐證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效果判定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監測期間、分子分母、重複事件檢索及覆核者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結案核定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核定者、權限依據、日期與正式紀錄位置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</w:tbl>
    <w:p/>
    <w:p>
      <w:r>
        <w:t>趨勢檢視可按事件類型、嚴重度、逾期情形、再發及措施有效性分類；年度彙整須待協會決定並核定週期、責任及會議紀錄。本稿不宣稱已有年度檢討。</w:t>
      </w:r>
    </w:p>
    <w:p>
      <w:pPr>
        <w:pStyle w:val="Heading1"/>
      </w:pPr>
      <w:r>
        <w:t>10. I16-E02要求追溯表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rPr>
          <w:cantSplit/>
          <w:tblHeader w:val="true"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要求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資料來源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欄位／指標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示例結果／真實狀態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本報告位置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覆核／原件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訓練異常處理方法、紀錄與工具。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官方佐證資料表p.5；官方評核表p.3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事件識別、影響、圍堵、時間線、根因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版本不一致示例；協會實際異常 WAITING_FOR_ORIGINAL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第1–13節及空白紀錄欄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原始通報、處置及覆核者 WAITING_FOR_ORIGINAL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矯正措施防止再發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同一事件原始通報及後續檢查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根因、措施、期限、效果窗口、再發率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示例0/1；實際效果尚無資料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第6、8、9節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核定CAPA、30日檢核與簽核原件 WAITING_FOR_ORIGINAL</w:t>
            </w:r>
          </w:p>
        </w:tc>
      </w:tr>
    </w:tbl>
    <w:p/>
    <w:p>
      <w:pPr>
        <w:pStyle w:val="Heading1"/>
      </w:pPr>
      <w:r>
        <w:t>11. 可填寫的八欄個案紀錄</w:t>
      </w:r>
    </w:p>
    <w:p>
      <w:r>
        <w:t>正式登錄時每個事件使用獨立編號；下表留白，不可預填真人、日期、核准或結果。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欄位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正式填寫內容／目前狀態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事件與發現時間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事件編號、班次、發現者角色、日期時間、原始紀錄位置：WAITING_FOR_ORIGINAL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嚴重度與影響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依核定尺度、受影響對象及範圍、升級判斷：WAITING_FOR_ORIGINAL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證據、分析方法、替代解釋及覆核結論：WAITING_FOR_ORIGINAL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矯正措施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即時處置、受影響資料／教材回收及完成證據：WAITING_FOR_ORIGINAL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預防措施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流程、版本控制、訓練或監控變更及核准：WAITING_FOR_ORIGINAL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責任與期限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真實責任人、權責依據、到期日及完成日：WAITING_FOR_ORIGINAL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效果驗證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指標、基線、分子分母、期間、樣本與覆核：WAITING_FOR_ORIGINAL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結案核定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審查者、核定者、日期、簽章／正式紀錄：WAITING_FOR_ORIGINAL</w:t>
            </w:r>
          </w:p>
        </w:tc>
      </w:tr>
    </w:tbl>
    <w:p/>
    <w:p>
      <w:pPr>
        <w:pStyle w:val="Heading1"/>
      </w:pPr>
      <w:r>
        <w:t>12. 真實升格檢核與替換清單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升格前核對項目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所需真實原件／查核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事件與班次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真實班次、課程、日期、事件編號及同時形成的通報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影響與圍堵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發放／回收範圍、實際暴露、風險分級、通知及處置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根因與CAPA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原始資料、分析依據、核定措施、責任人與期限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效果與趨勢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有效期間、完整分母、複查紀錄及再發檢索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核定與第三方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真實核准、簽章、第三方文件及受控檔案定位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WAITING_FOR_ORIGINAL</w:t>
            </w:r>
          </w:p>
        </w:tc>
      </w:tr>
    </w:tbl>
    <w:p/>
    <w:p>
      <w:pPr>
        <w:pStyle w:val="Heading1"/>
      </w:pPr>
      <w:r>
        <w:t>13. 必答問題與直接證據定位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問題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僅就合成例的回答／目前真實狀態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直接定位與正式替換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問題何時被發現？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示例為2026-05-12 14:05課前版本檢核；真實時間 WAITING_FOR_ORIGINAL。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第1、3、4節；換入同期通報及班次紀錄。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真正根因是什麼？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示例假設無唯一受控母檔且缺少發行版次核對；不是協會已查明根因。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第4節；以真實流程、權限、檔案及訪談證據覆核。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措施能否防止再發？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示例監測30日／720小時，4次版次檢核未見差異；不代表實際有效。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第6、8、9節；換入預防控制及原始檢查結果。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用什麼資料證明有效？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受控版本登錄、列印前檢核、發行記錄、30日監測及事件台帳。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第8–10節；取得真實文件並重算。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哪一段直接證明I16-E02？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第6節同一張八欄CAPA表連結事件至驗證；第9節映射官方要求；第10節提供空白工具。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以真實事件原件、覆核與核定紀錄完成升格。</w:t>
            </w:r>
          </w:p>
        </w:tc>
      </w:tr>
    </w:tbl>
    <w:p/>
    <w:p>
      <w:pPr>
        <w:pStyle w:val="Heading1"/>
      </w:pPr>
      <w:r>
        <w:t>閉環示意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99"/>
        <w:gridCol w:w="1099"/>
        <w:gridCol w:w="1099"/>
        <w:gridCol w:w="1099"/>
        <w:gridCol w:w="1099"/>
        <w:gridCol w:w="1099"/>
        <w:gridCol w:w="1099"/>
        <w:gridCol w:w="1099"/>
        <w:gridCol w:w="1099"/>
      </w:tblGrid>
      <w:tr>
        <w:trPr>
          <w:cantSplit/>
          <w:tblHeader w:val="true"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異常識別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風險與圍堵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根因分析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CAPA措施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效果驗證與結案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同期通報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確認影響／停止擴散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以證據找系統原因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矯正＋預防＋責任期限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同口徑檢查再發並留存核定</w:t>
            </w:r>
          </w:p>
        </w:tc>
      </w:tr>
    </w:tbl>
    <w:p/>
    <w:p>
      <w:r>
        <w:t>示意流程為可編輯表格，不代表協會已建立或核定制度。實際案件需依正式程序、權責及適用法規處理。</w:t>
      </w:r>
    </w:p>
    <w:sectPr w:rsidR="00FC693F" w:rsidRPr="0006063C" w:rsidSect="00034616">
      <w:pgSz w:w="11909" w:h="16834"/>
      <w:pgMar w:top="936" w:right="1008" w:bottom="936" w:left="1008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6E78"/>
        <w:sz w:val="16"/>
      </w:rPr>
      <w:t>DRAFT_SYNTHETIC｜WAITING_FOR_ORIGINAL｜I16-E02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0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05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4223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異常通報暨 CAPA 矯正預防紀錄</dc:title>
  <dc:subject>I16-E02 synthetic editable working draft R05</dc:subject>
  <dc:creator>社團法人屏東縣原始點關懷協會（範本欄位；非實際核定）</dc:creator>
  <cp:keywords>I16-E02; DRAFT_SYNTHETIC; WAITING_FOR_ORIGINAL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