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4 ÷ 6 = 66.7%；門檻為整體平均增加至少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(3.38−2.60)÷2.60 = 30.1%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 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2.25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+0.83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37.0%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+0.83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30.3%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3.75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+1.00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36.4%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2.42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2.83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+0.42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17.2%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2.83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+0.83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29.4%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2.60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+0.78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30.1%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66.7%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構面平均與整體平均均由下頁所列 120 個合成題項分數逐筆計算；結果顯示例子內的前後差異，不代表訓練造成變化。無真實資料時，不得將合成值換寫成協會成果。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11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1｜每軸為一構面；刻度 1–5；n=6 合成配對。圖中前後平均與表 5 一致。圖形為固定圖片；旁列資料表及計算欄可在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2.60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2.70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+0.80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2.50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+0.90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2.40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+0.90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4.00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+1.10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2.50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每格採「前測兩題分數／後測兩題分數」；題號見表 3。例：2/3 → 3/4 表示同一合成個案該構面兩題之前測分數為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  <w:cantSplit/>
        </w:trPr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構面1</w:t>
              <w:br/>
              <w:t>題號 01/02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構面2</w:t>
              <w:br/>
              <w:t>題號 03/04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構面3</w:t>
              <w:br/>
              <w:t>題號 05/06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構面4</w:t>
              <w:br/>
              <w:t>題號 07/08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2/2</w:t>
              <w:br/>
              <w:t>後 1/2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4/2</w:t>
              <w:br/>
              <w:t>後 5/2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3/2</w:t>
              <w:br/>
              <w:t>後 4/2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3/2</w:t>
              <w:br/>
              <w:t>後 4/3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4/2</w:t>
              <w:br/>
              <w:t>後 5/3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2/2</w:t>
              <w:br/>
              <w:t>後 3/2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3/3</w:t>
              <w:br/>
              <w:t>後 3/4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3/3</w:t>
              <w:br/>
              <w:t>後 4/5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3/2</w:t>
              <w:br/>
              <w:t>後 4/2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3/3</w:t>
              <w:br/>
              <w:t>後 4/4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3/2</w:t>
              <w:br/>
              <w:t>後 4/3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2/2</w:t>
              <w:br/>
              <w:t>後 3/3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2/3</w:t>
              <w:br/>
              <w:t>後 3/4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2/3</w:t>
              <w:br/>
              <w:t>後 3/3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3/3</w:t>
              <w:br/>
              <w:t>後 4/4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2/2</w:t>
              <w:br/>
              <w:t>後 4/3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2/4</w:t>
              <w:br/>
              <w:t>後 3/5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2/2</w:t>
              <w:br/>
              <w:t>後 3/3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3/2</w:t>
              <w:br/>
              <w:t>後 4/2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2/3</w:t>
              <w:br/>
              <w:t>後 2/4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3/3</w:t>
              <w:br/>
              <w:t>後 5/4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3/4</w:t>
              <w:br/>
              <w:t>後 5/5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4/2</w:t>
              <w:br/>
              <w:t>後 5/3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2/2</w:t>
              <w:br/>
              <w:t>後 3/3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4/2</w:t>
              <w:br/>
              <w:t>後 4/3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2/2</w:t>
              <w:br/>
              <w:t>後 3/3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2/2</w:t>
              <w:br/>
              <w:t>後 3/2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4/3</w:t>
              <w:br/>
              <w:t>後 5/4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2/3</w:t>
              <w:br/>
              <w:t>後 1/2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 2/3</w:t>
              <w:br/>
              <w:t>後 3/4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  <w:cantSplit/>
        </w:trPr>
        <w:tc>
          <w:tcPr>
            <w:tcW w:type="dxa" w:w="201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合成代碼</w:t>
            </w:r>
          </w:p>
        </w:tc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五構面前測平均</w:t>
            </w:r>
          </w:p>
        </w:tc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五構面後測平均</w:t>
            </w:r>
          </w:p>
        </w:tc>
        <w:tc>
          <w:tcPr>
            <w:tcW w:type="dxa" w:w="172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差值</w:t>
            </w:r>
          </w:p>
        </w:tc>
        <w:tc>
          <w:tcPr>
            <w:tcW w:type="dxa" w:w="43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2.60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3.10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+0.50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2.70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3.50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+0.80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符合示範門檻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2.50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3.40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+0.90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符合示範門檻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2.40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3.30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+0.90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符合示範門檻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SYN-05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2.90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4.00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+1.10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符合示範門檻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SYN-06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2.50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3.00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+0.50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sectPr>
          <w:pgSz w:w="16834" w:h="11909" w:orient="landscape"/>
          <w:pgMar w:top="792" w:right="893" w:bottom="792" w:left="893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實際核對項目</w:t>
            </w:r>
          </w:p>
        </w:tc>
        <w:tc>
          <w:tcPr>
            <w:tcW w:type="dxa" w:w="48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正式檔案／紀錄</w:t>
            </w:r>
          </w:p>
        </w:tc>
        <w:tc>
          <w:tcPr>
            <w:tcW w:type="dxa" w:w="28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班次、課程、日期與受測對象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核定課程資料、簽到／學員名冊、施測通知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問卷題目、量尺與版本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前後測正式問卷、版本及修改紀錄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配對與未回覆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去識別化配對清單、回收與缺漏紀錄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目標與門檻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協會核定成果目標、核定日期與責任人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實際計算與覆核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原始資料、計算表、覆核人及日期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第三方／工作表現佐證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可追溯的雇主、服務或後續行為原件（如適用）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11.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12.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4/6，門檻為合成示例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30.1%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50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