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 w:before="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44"/>
        </w:rPr>
        <w:t>策略因果鏈與三年績效指標對照表</w:t>
      </w:r>
    </w:p>
    <w:p>
      <w:pPr>
        <w:keepNext/>
        <w:spacing w:after="100" w:before="0" w:line="252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9"/>
        </w:rPr>
        <w:t>I01-E01｜中長程業務發展規劃｜文件編號 0002｜內部控管資料 / 內部控管資料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7"/>
      </w:tblGrid>
      <w:tr>
        <w:tc>
          <w:tcPr>
            <w:tcW w:type="dxa" w:w="15137"/>
            <w:shd w:fill="FFF0CE"/>
            <w:tcMar>
              <w:top w:w="95" w:type="dxa"/>
              <w:start w:w="130" w:type="dxa"/>
              <w:bottom w:w="95" w:type="dxa"/>
              <w:end w:w="130" w:type="dxa"/>
            </w:tcMar>
            <w:tcBorders>
              <w:top w:val="single" w:sz="8" w:space="0" w:color="E6C46B"/>
              <w:left w:val="single" w:sz="8" w:space="0" w:color="E6C46B"/>
              <w:bottom w:val="single" w:sz="8" w:space="0" w:color="E6C46B"/>
              <w:right w:val="single" w:sz="8" w:space="0" w:color="E6C46B"/>
              <w:insideH w:val="single" w:sz="8" w:space="0" w:color="E6C46B"/>
              <w:insideV w:val="single" w:sz="8" w:space="0" w:color="E6C46B"/>
            </w:tcBorders>
          </w:tcPr>
          <w:p>
            <w:pPr>
              <w:spacing w:after="0" w:before="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9C2F2F"/>
                <w:sz w:val="21"/>
              </w:rPr>
              <w:t>人類決策草案／未核定，不代表協會已採用</w:t>
            </w:r>
          </w:p>
        </w:tc>
      </w:tr>
    </w:tbl>
    <w:p>
      <w:pPr>
        <w:spacing w:after="10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本件供協會決議策略主軸、三年績效指標口徑、責任與證據位置。除協會提供的機構輪廓外，客群分類、三年節奏、策略主軸、績效指標及角色配置均為非採用提案；基準值、年度目標、實績、起訖年度、真人姓名、核准與簽章欄位留待真實決議及紀錄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1｜I01-E01官方要求的直接回應與適用情境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8"/>
        </w:rPr>
        <w:t>官方勾選文字（依有效要求清冊）：「中長程的業務發展規劃策略地圖。 （p.13；OOO手冊中第O頁； 官網首頁）」本件以使命／定位→市場價值→課程能力→營運／公益成果的策略地圖，連結因果鏈、三年績效指標欄位及季度修訂規則，作為此要求的專屬工作稿。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7"/>
        </w:rPr>
        <w:t>適用範圍：支持協會決定中長程方向、目標客群、課程主軸、年度量化口徑及證據責任；不聲稱已辦訓、已達成目標或已產生營運／公益成果。需求調查、實際課程執行及學員成果分別依 I02、I03、I05 的事實所有權交叉引用，不在本件重複建立另一套結果。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表1｜I01-E01專屬追溯表：要求—資料來源—欄位/指標—結果—證據位置—覆核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要求</w:t>
            </w:r>
          </w:p>
        </w:tc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資料來源</w:t>
            </w:r>
          </w:p>
        </w:tc>
        <w:tc>
          <w:tcPr>
            <w:tcW w:type="dxa" w:w="294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欄位／指標</w:t>
            </w:r>
          </w:p>
        </w:tc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證據位置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中長程的業務發展規劃策略地圖。 （p.13；OOO手冊中第O頁； 官網首頁）</w:t>
            </w:r>
          </w:p>
        </w:tc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官方查核佐證文件資料表，PDF第1頁，計畫／指標1；評核表PDF第1頁</w:t>
            </w:r>
          </w:p>
        </w:tc>
        <w:tc>
          <w:tcPr>
            <w:tcW w:type="dxa" w:w="294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使命→市場價值→課程能力→營運／公益成果；策略因果鏈；三年績效指標、基準／目標欄</w:t>
            </w:r>
          </w:p>
        </w:tc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本件提供決策結構；實際方向、基準、目標及成果待協會決議／實績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圖1、表2至表5；外部市場及協會原始紀錄尚待附入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由協會依實際權責核對來源、指標定義、資料與決議；未核定不得升格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2｜現況與外部環境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7"/>
        </w:rPr>
        <w:t>已知且可使用的機構輪廓：社團法人屏東縣原始點關懷協會；健康教育及傳統整復推拿技術為核心；可依市場需求、資源、法規及品質條件發展多元課程。此為提供輪廓，不是已核實的營運或訓練成果。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已知範圍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待查證的外部／內部條件</w:t>
            </w:r>
          </w:p>
        </w:tc>
        <w:tc>
          <w:tcPr>
            <w:tcW w:type="dxa" w:w="481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決策前應取得的證據</w:t>
            </w:r>
          </w:p>
        </w:tc>
        <w:tc>
          <w:tcPr>
            <w:tcW w:type="dxa" w:w="164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證據不足時的處理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核心業務輪廓如上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目標客群、區域需求、需求規模、既有替代方案及課程偏好未提供。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協會決定調查範圍及方法；保存問項、母體/對象定義、來源日期、摘要及限制。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不得推定市場需求或將候選客群寫成既有服務對象。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可依需求、資源、法規及品質條件發展多元課程。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人力、師資、場地、教材、時間、經費、適用資格/法規及品質控管現況均未提供。</w:t>
            </w:r>
          </w:p>
        </w:tc>
        <w:tc>
          <w:tcPr>
            <w:tcW w:type="dxa" w:w="481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由協會核實可用資源及法規／品質檢核責任與來源；本稿不解釋具體法規。</w:t>
            </w:r>
          </w:p>
        </w:tc>
        <w:tc>
          <w:tcPr>
            <w:tcW w:type="dxa" w:w="164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未完成條件檢核前，僅列規劃候選，不作招生、開課或合規宣稱。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外部數據、法規條文、競爭者、服務成果與財務資訊均未作事實引用。建檔時應為每項外部依據保留正式來源、版本/日期、適用範圍及覆核者；若條件變更，於下一次季度檢討觸發修訂。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3｜使命、定位與目標市場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  <w:cantSplit/>
        </w:trPr>
        <w:tc>
          <w:tcPr>
            <w:tcW w:type="dxa" w:w="181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決策欄</w:t>
            </w:r>
          </w:p>
        </w:tc>
        <w:tc>
          <w:tcPr>
            <w:tcW w:type="dxa" w:w="7370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工作稿內容</w:t>
            </w:r>
          </w:p>
        </w:tc>
        <w:tc>
          <w:tcPr>
            <w:tcW w:type="dxa" w:w="521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協會須核定／補證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使命／定位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使命文字待協會確認。可據以展開的現有輪廓僅為：健康教育及傳統整復推拿技術為核心。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採用正式使命/定位文字；標示來源與核定紀錄。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目標客群（假設）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選項供市場驗證：對健康教育有需求的社區民眾；對傳統整復推拿知識／技術有學習需求者；可能合作的社區團體或機構。此處不是客群既況。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逐一確認是否納入、服務區域、需求證據及排除條件；不適配即刪除。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為何列入候選</w:t>
            </w:r>
          </w:p>
        </w:tc>
        <w:tc>
          <w:tcPr>
            <w:tcW w:type="dxa" w:w="7370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候選方向與協會自述核心業務相關；需求是否存在及是否值得投入，仍需可追溯資料驗證。</w:t>
            </w:r>
          </w:p>
        </w:tc>
        <w:tc>
          <w:tcPr>
            <w:tcW w:type="dxa" w:w="521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以需求來源、資源可行性、法規及品質條件共同決策。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4｜三年策略主軸與策略因果鏈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圖1｜策略地圖：使命／定位 → 市場價值 → 課程能力 → 營運／公益成果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17365D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使命／定位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45A81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市場價值</w:t>
            </w:r>
          </w:p>
        </w:tc>
        <w:tc>
          <w:tcPr>
            <w:tcW w:type="dxa" w:w="3628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2A7774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課程能力</w:t>
            </w:r>
          </w:p>
        </w:tc>
        <w:tc>
          <w:tcPr>
            <w:tcW w:type="dxa" w:w="4139"/>
            <w:vAlign w:val="center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43636D"/>
          </w:tcPr>
          <w:p>
            <w:pPr>
              <w:spacing w:after="0" w:before="0" w:line="25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營運／公益成果</w:t>
            </w:r>
          </w:p>
        </w:tc>
      </w:tr>
      <w:tr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使命文字待協會確認；目前輪廓為健康教育＋傳統整復推拿技術。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由可回查的客群需求證據確認價值主張；現階段留待調查。</w:t>
            </w:r>
          </w:p>
        </w:tc>
        <w:tc>
          <w:tcPr>
            <w:tcW w:type="dxa" w:w="3628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EAF1F7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依已核實需求及資源、法規、品質條件評估多元課程；課名待決。</w:t>
            </w:r>
          </w:p>
        </w:tc>
        <w:tc>
          <w:tcPr>
            <w:tcW w:type="dxa" w:w="4139"/>
            <w:vAlign w:val="top"/>
            <w:tcMar>
              <w:top w:w="105" w:type="dxa"/>
              <w:start w:w="120" w:type="dxa"/>
              <w:bottom w:w="105" w:type="dxa"/>
              <w:end w:w="120" w:type="dxa"/>
            </w:tcMar>
            <w:tcBorders>
              <w:top w:val="single" w:sz="6" w:space="0" w:color="B8CBD9"/>
              <w:left w:val="single" w:sz="6" w:space="0" w:color="B8CBD9"/>
              <w:bottom w:val="single" w:sz="6" w:space="0" w:color="B8CBD9"/>
              <w:right w:val="single" w:sz="6" w:space="0" w:color="B8CBD9"/>
              <w:insideH w:val="single" w:sz="6" w:space="0" w:color="B8CBD9"/>
              <w:insideV w:val="single" w:sz="6" w:space="0" w:color="B8CBD9"/>
            </w:tcBorders>
            <w:shd w:fill="F4F7F9"/>
          </w:tcPr>
          <w:p>
            <w:pPr>
              <w:spacing w:after="0" w:before="0" w:line="250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填入經核定且可驗證的營運／公益指標與實績；目前均未提供。</w:t>
            </w:r>
          </w:p>
        </w:tc>
      </w:tr>
    </w:tbl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因果判讀：每一階段須有對應資料與決策紀錄；策略投入與成果之間不得只憑先後關係宣稱因果。營運及公益結果在定義、資料源和實績未核實前，維持待決欄位。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表2｜由需求原因至服務產出與價值結果的因果鏈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04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鏈結階段</w:t>
            </w:r>
          </w:p>
        </w:tc>
        <w:tc>
          <w:tcPr>
            <w:tcW w:type="dxa" w:w="30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原因／假設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活動或決策</w:t>
            </w:r>
          </w:p>
        </w:tc>
        <w:tc>
          <w:tcPr>
            <w:tcW w:type="dxa" w:w="345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可觀測輸出／結果欄</w:t>
            </w:r>
          </w:p>
        </w:tc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證據及修訂判斷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需求→方向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候選客群可能有健康教育或相關技術學習需求；目前未驗證。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蒐集、核對需求來源；由協會決定目標市場與主題。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需求主張清冊、來源與限制；基準及目標待填。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無可回查證據即不宣稱市場契合，補查或暫緩主題。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方向→課程規劃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只有經核實需求且符合資源／法規／品質條件的主題，才進入課程規劃。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比較主軸、客群、資源、法規與品質條件；形成待核定規劃。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完成條件檢核的課程規劃件數／完整率；待實績。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任一必要條件未確認，保留待決並請權責人覆核。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課程規劃→產出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只有經實際核定與執行，才可計列課程或參與者輸出。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經協會實際授權後決定是否排程及提供服務。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核定、排課、實際執行等資料均待真實紀錄；本稿不預填。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未有原始紀錄時不列為已辦課程；實施資料交叉引用I03。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產出→學習／公益價值</w:t>
            </w:r>
          </w:p>
        </w:tc>
        <w:tc>
          <w:tcPr>
            <w:tcW w:type="dxa" w:w="30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學習或公益價值須有事前定義、合宜方法、可追溯資料及限制說明。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決定合適的學習、應用或公益指標，依權責蒐證及覆核。</w:t>
            </w:r>
          </w:p>
        </w:tc>
        <w:tc>
          <w:tcPr>
            <w:tcW w:type="dxa" w:w="345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實際評量／應用／公益成果待填；結果事實交叉引用I05。</w:t>
            </w:r>
          </w:p>
        </w:tc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無基準或有效資料時，記為待評估，不推論因果或健康療效。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表3｜策略主軸—目標客群—課程產品—績效指標—責任—時程矩陣（候選項目均未採用）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5084"/>
        <w:gridCol w:w="5084"/>
        <w:gridCol w:w="5084"/>
      </w:tblGrid>
      <w:tr>
        <w:trPr>
          <w:tblHeader w:val="true"/>
          <w:cantSplit/>
        </w:trPr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目標客群假設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課程產品方向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待驗證：健康教育需求者；傳統整復推拿知識／技術學習需求者；潛在合作組織。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健康教育主題課程；傳統整復推拿相關知識／技術課程；實際課名與範圍待決。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同上候選客群；是否服務、以何種形式服務待市場及資源驗證。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依已核實需求評估多元課程；不得假設既有班別、師資或資格。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僅在實際服務及合宜資料同意/管理條件成立後適用；對象定義待決。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依協會核定範圍決定是否提供並追蹤；本件不命名未確認課程。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策略主軸候選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對應績效指標欄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責任功能（待指定）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相對時程／決策門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以可查證需求選擇策略主題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K1需求證據覆蓋率；K2策略對齊規劃完整率。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策略承辦、需求資料彙整功能；均待協會指定。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提案：第1年建基線；無需求證據不宣稱適配。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以資源、法規、品質條件篩選課程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K3可行性檢核完成率；K4年度里程碑達成率。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課程規劃、法規／品質覆核功能；均待協會指定。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提案：第2年依證據形成規劃；條件未通過即暫緩或修訂。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建立學習、營運／公益價值的回饋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K5學習變化；K6應用／公益結果候選；實績依權責交叉引用I05。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資料保管、成果覆核功能；均待協會指定。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提案：第3年依前期證據檢討續留、調整或擴充；非自動擴張。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5｜三年目標與績效指標定義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下列為候選口徑，協會可增刪；未決欄位以「待協會決議／待填實績」保留。基準須按同一指標定義取得；三年起訖期間待決。目標值不得由工作稿倒填。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表4｜基準值／目標值／資料來源／檢討頻率與績效指標公式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5084"/>
        <w:gridCol w:w="5084"/>
        <w:gridCol w:w="5084"/>
      </w:tblGrid>
      <w:tr>
        <w:trPr>
          <w:tblHeader w:val="true"/>
          <w:cantSplit/>
        </w:trPr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績效指標候選／層級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定義及公式</w:t>
            </w:r>
          </w:p>
        </w:tc>
        <w:tc>
          <w:tcPr>
            <w:tcW w:type="dxa" w:w="50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基準值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K1 需求證據覆蓋率（需求→方向）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有可回查來源並完成覆核的候選需求主題數 ÷ 當期全部待評估主題數 × 100%。母數與證據有效性規則須先核定。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K2 策略對齊規劃完整率（規劃→課程）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具備客群、需求來源、策略主軸、衡量方法、資源、法規及品質檢核欄的課程規劃件數 ÷ 同期全部課程規劃件數 × 100%。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K3 可行性檢核完成率（規劃準備）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已完成市場、資源、法規、品質四項檢核的候選主題數 ÷ 同期全部評估候選主題數 × 100%。檢核清單須先由協會確認。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K4 核定年度里程碑達成率（營運）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實際完成且有證據的核定里程碑數 ÷ 同期應完成的核定里程碑數 × 100%。須先核定里程碑與完成判準。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K5 課程學習變化（成果候選）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同一課程、同一評量工具及同一量尺下，完成後核心學習指標平均值 − 課前基線平均值；報告參與人數、缺失資料與評量限制。不是醫療療效指標。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待填實績</w:t>
            </w:r>
          </w:p>
        </w:tc>
      </w:tr>
      <w:tr>
        <w:trPr>
          <w:cantSplit/>
        </w:trPr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K6 應用／公益結果（候選，待定義）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先由協會選定一項可驗證結果指標及其對象、分母、時點、資料來源與隱私處理；採通用計算：符合預先核定結果條件的實績 ÷ 核定目標。未定義前不計值。</w:t>
            </w:r>
          </w:p>
        </w:tc>
        <w:tc>
          <w:tcPr>
            <w:tcW w:type="dxa" w:w="50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待協會決議／待填實績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2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績效指標候選／層級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年度目標值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資料來源／證據</w:t>
            </w:r>
          </w:p>
        </w:tc>
        <w:tc>
          <w:tcPr>
            <w:tcW w:type="dxa" w:w="3813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頻率／責任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K1 需求證據覆蓋率（需求→方向）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需求資料及覆核清冊；I02原始需求材料由其所有者維護。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每季；策略/資料功能待指定。母數為0或未核定則不適用。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K2 策略對齊規劃完整率（規劃→課程）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版本化課程規劃及覆核紀錄；實際課程計畫與執行交叉引用I03。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每季；課程規劃/品質功能待指定。母數為0則不適用。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K3 可行性檢核完成率（規劃準備）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主題決策清單與各項檢核依據/覆核記錄。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每季；法規/品質覆核功能待指定。母數為0則不適用。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K4 核定年度里程碑達成率（營運）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年度策略／決策紀錄、里程碑佐證、檢討紀錄。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每季；策略承辦待指定。未有核定里程碑則不適用。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K5 課程學習變化（成果候選）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僅在真實課程及合宜評量成立後使用；結果證據交叉引用I05。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課程後及年度彙整；評量/資料功能待指定；無配對有效資料則不適用。</w:t>
            </w:r>
          </w:p>
        </w:tc>
      </w:tr>
      <w:tr>
        <w:trPr>
          <w:cantSplit/>
        </w:trPr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K6 應用／公益結果（候選，待定義）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第1/2/3年各待協會決議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核定指標定義、原始紀錄、限制與覆核紀錄；學員成果/實績交叉引用I05。</w:t>
            </w:r>
          </w:p>
        </w:tc>
        <w:tc>
          <w:tcPr>
            <w:tcW w:type="dxa" w:w="3813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至少每季檢視資料可得性；結果功能待指定；未定義/目標空白則不適用。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年度計算口徑（僅對已核定且有可比目標/實績者使用）：年度績效指標達成率＝實績／目標；年度成長率＝（本年－前一年）／前一年。以百分比呈現時乘以100%。目標未核定、分母為零、前一年為零或定義/範圍改變而不可比時，填「不適用」並說明原因；不得以零代替缺值。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表5｜年度策略焦點與三年目標填列欄（相對年度；非正式日期或承諾）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年度欄</w:t>
            </w:r>
          </w:p>
        </w:tc>
        <w:tc>
          <w:tcPr>
            <w:tcW w:type="dxa" w:w="379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候選重點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決策門／年度檢視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績效指標目標欄</w:t>
            </w:r>
          </w:p>
        </w:tc>
        <w:tc>
          <w:tcPr>
            <w:tcW w:type="dxa" w:w="323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年度實績與偏差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第1年（期間待決）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確認使命/客群假設；蒐集需求證據、建立基準；決定 績效指標 定義、資料源及責任。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協會覆核客群與需求證據；確認資源、法規與品質檢查方法；未達門檻的主題不進入採用。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K1–K6年度目標：待協會決議。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待填實績／差異／原因；無核定基準前標示待建基線。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依第1年可查證資料檢視課程規劃選項；是否開發或提供服務由協會另行核定。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規劃件須通過已核定檢核；課程名稱、是否排程、資源承諾均待真實決議。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K1–K6年度目標：待協會決議。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待填實績／差異／原因；未發生或未蒐證不得填成已完成。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第3年（期間待決）</w:t>
            </w:r>
          </w:p>
        </w:tc>
        <w:tc>
          <w:tcPr>
            <w:tcW w:type="dxa" w:w="379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比較前期資料與策略假設，審議續留、修訂或擴充；只擴充已驗證且條件可行的方向。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記錄選擇與不選擇的理由、資料限制、風險與下一週期修訂。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K1–K6年度目標：待協會決議。</w:t>
            </w:r>
          </w:p>
        </w:tc>
        <w:tc>
          <w:tcPr>
            <w:tcW w:type="dxa" w:w="323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待填實績／差異／原因；成效解讀須交叉覆核I05等權責資料。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6｜資源、責任、風險與假設</w:t>
      </w: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表6｜資源與責任配置欄（功能提案，尚未指派）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32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功能位置（待協會指定）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應負責的策略資料／決定</w:t>
            </w:r>
          </w:p>
        </w:tc>
        <w:tc>
          <w:tcPr>
            <w:tcW w:type="dxa" w:w="39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需要的資源欄</w:t>
            </w:r>
          </w:p>
        </w:tc>
        <w:tc>
          <w:tcPr>
            <w:tcW w:type="dxa" w:w="419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目前狀態／待補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策略承辦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維護策略主軸、年度里程碑、季度偏差與修訂版本。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工作時數、授權、資料存取條件待盤點。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姓名/實際職務/授權範圍：待協會指定。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需求資料彙整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記錄來源、範圍、日期、方法、限制及覆核狀態。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調查方法、工具、資料保存及必要資源待決。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真人/角色/調查紀錄：未提供。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課程規劃功能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連結客群、需求證據、主軸、規劃產出與 績效指標。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師資、教材、場地、時間、經費等依實際規劃填列。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不得推定現有人力、課程或預算。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法規／品質覆核功能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依實際適用範圍核實法規、資格、品質要求及檢核證據。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權責人員、有效規範來源及覆核週期待決。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本稿不提供具體法律結論；未核實前暫緩相關採用。</w:t>
            </w:r>
          </w:p>
        </w:tc>
      </w:tr>
      <w:tr>
        <w:trPr>
          <w:cantSplit/>
        </w:trPr>
        <w:tc>
          <w:tcPr>
            <w:tcW w:type="dxa" w:w="232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資料彙整／成果覆核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按核定定義計算、檢查缺值/母數，記錄更正與證據位置。</w:t>
            </w:r>
          </w:p>
        </w:tc>
        <w:tc>
          <w:tcPr>
            <w:tcW w:type="dxa" w:w="39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資料工具、存取權限、隱私與保存條件待決。</w:t>
            </w:r>
          </w:p>
        </w:tc>
        <w:tc>
          <w:tcPr>
            <w:tcW w:type="dxa" w:w="419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實際責任人、資料系統及保存位置：待填。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表7｜主要風險與待驗證假設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風險／假設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可能影響</w:t>
            </w:r>
          </w:p>
        </w:tc>
        <w:tc>
          <w:tcPr>
            <w:tcW w:type="dxa" w:w="527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預防或應對</w:t>
            </w:r>
          </w:p>
        </w:tc>
        <w:tc>
          <w:tcPr>
            <w:tcW w:type="dxa" w:w="340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啟動修訂的訊號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需求假設未獲證據支持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策略方向或課程配置可能與實際需求不符。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標示來源與方法限制；比較多方可核實訊號；由協會決策是否保留主題。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季度檢視無可追溯需求證據或新證據推翻原假設。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資源可行性未知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人力、師資、場地、教材、時間或經費可能不足。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每個候選方向先完成資源盤點，不以概估冒充核定預算。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必要資源無法確認或投入條件改變。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法規／資格或品質條件未確認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課程範圍與提供方式可能不適用或品質風險上升。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列出適用範圍並由具權責者依有效來源覆核；本稿不自行解釋法規。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出現法規、資格、品質或安全疑義時，暫停相關規劃並覆核。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指標定義或資料品質改變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跨季／跨年比較失真，可能誤導決策。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先定義範圍、分母、來源、責任與缺值規則；修訂留版本紀錄。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來源中斷、母數/口徑變更、資料缺漏或無法重算。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公益/學習結果被過度歸因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把參與或前後差異誤稱為長期成效或因果。</w:t>
            </w:r>
          </w:p>
        </w:tc>
        <w:tc>
          <w:tcPr>
            <w:tcW w:type="dxa" w:w="527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事前定義指標、限制、對照與解讀範圍；結果事實交叉引用I05。</w:t>
            </w:r>
          </w:p>
        </w:tc>
        <w:tc>
          <w:tcPr>
            <w:tcW w:type="dxa" w:w="340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成果資料不足以支持解讀，改列待評估並修訂表述。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7｜季度／年度檢討與修訂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253746"/>
          <w:sz w:val="16"/>
        </w:rPr>
        <w:t>季度檢討：協會核定後按季檢視 績效指標、資料完整度、風險與策略假設。若尚無年度里程碑或有效目標，記錄為待建立，不作達成率判定。年度檢討：在下一週期目標決議前，回顧同口徑實績、偏差原因、資料限制與課程方向，形成保留、修訂或停止的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289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觸發條件</w:t>
            </w:r>
          </w:p>
        </w:tc>
        <w:tc>
          <w:tcPr>
            <w:tcW w:type="dxa" w:w="4876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檢討步驟／判斷</w:t>
            </w:r>
          </w:p>
        </w:tc>
        <w:tc>
          <w:tcPr>
            <w:tcW w:type="dxa" w:w="464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必留輸出欄</w:t>
            </w:r>
          </w:p>
        </w:tc>
        <w:tc>
          <w:tcPr>
            <w:tcW w:type="dxa" w:w="272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修訂控制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實績落後已核定的季度里程碑；或連續資料缺值／來源不可覆核。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確認目標/定義/母數；回查原始資料；分析偏差原因；決定補證、調整或停用。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檢討日期（待填）、指標/版本、差異、來源位置、原因、決議、責任角色、期限及覆核。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不得回寫成未發生的目標或實績；新增版本並保留原計算及修訂理由。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市場需求、可用資源、法規或品質條件有實質變動。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重開相應決策門；由具權責角色確認影響範圍及可行方案。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變更來源、受影響主軸/績效指標、暫行控制、核決證據位置。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必要條件未核實前，暫緩受影響主題；不得因年度規劃自動擴課。</w:t>
            </w:r>
          </w:p>
        </w:tc>
      </w:tr>
      <w:tr>
        <w:trPr>
          <w:cantSplit/>
        </w:trPr>
        <w:tc>
          <w:tcPr>
            <w:tcW w:type="dxa" w:w="289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指標定義、分母、資料源或比較範圍改變。</w:t>
            </w:r>
          </w:p>
        </w:tc>
        <w:tc>
          <w:tcPr>
            <w:tcW w:type="dxa" w:w="4876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保留舊/新口徑、重算可比資料；無法重算則標示不可比。</w:t>
            </w:r>
          </w:p>
        </w:tc>
        <w:tc>
          <w:tcPr>
            <w:tcW w:type="dxa" w:w="464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口徑變更對照、重算值/限制、批准功能及版本。</w:t>
            </w:r>
          </w:p>
        </w:tc>
        <w:tc>
          <w:tcPr>
            <w:tcW w:type="dxa" w:w="272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核定前後資料分開呈現；不得覆蓋原始紀錄。</w:t>
            </w:r>
          </w:p>
        </w:tc>
      </w:tr>
    </w:tbl>
    <w:p>
      <w:pPr>
        <w:spacing w:after="20"/>
      </w:pPr>
    </w:p>
    <w:p>
      <w:pPr>
        <w:keepNext/>
        <w:spacing w:after="60" w:before="20" w:line="252" w:lineRule="auto"/>
      </w:pPr>
      <w:r>
        <w:rPr>
          <w:rFonts w:ascii="Microsoft JhengHei" w:hAnsi="Microsoft JhengHei" w:eastAsia="Microsoft JhengHei" w:cs="Microsoft JhengHei"/>
          <w:b/>
          <w:color w:val="245A81"/>
          <w:sz w:val="16"/>
        </w:rPr>
        <w:t>季度檢討紀錄欄（每次檢討另行填寫；此處不代表已召開）</w:t>
      </w:r>
    </w:p>
    <w:tbl>
      <w:tblPr>
        <w:tblStyle w:val="TableGrid"/>
        <w:tblW w:type="dxa" w:w="15253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136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檢討週期</w:t>
            </w:r>
          </w:p>
        </w:tc>
        <w:tc>
          <w:tcPr>
            <w:tcW w:type="dxa" w:w="198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績效指標/策略主軸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來源及期間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136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198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待填來源、範圍、期間</w:t>
            </w:r>
          </w:p>
        </w:tc>
      </w:tr>
    </w:tbl>
    <w:p>
      <w:pPr>
        <w:pStyle w:val="Caption"/>
      </w:pPr>
      <w:r>
        <w:rPr>
          <w:color w:val="44546A"/>
          <w:sz w:val="18"/>
        </w:rPr>
        <w:t>續表｜下表接續列示同一筆資料的其餘欄位，請依相同項目核對。</w:t>
      </w:r>
    </w:p>
    <w:tbl>
      <w:tblPr>
        <w:tblStyle w:val="TableGrid"/>
        <w:tblW w:type="dxa" w:w="15253"/>
        <w:jc w:val="center"/>
        <w:tblLayout w:type="fixed"/>
        <w:tblLook w:firstColumn="1" w:firstRow="1" w:lastColumn="0" w:lastRow="0" w:noHBand="0" w:noVBand="1" w:val="04A0"/>
      </w:tblPr>
      <w:tblGrid>
        <w:gridCol w:w="3813"/>
        <w:gridCol w:w="3813"/>
        <w:gridCol w:w="3813"/>
        <w:gridCol w:w="3813"/>
      </w:tblGrid>
      <w:tr>
        <w:trPr>
          <w:tblHeader w:val="true"/>
          <w:cantSplit/>
        </w:trPr>
        <w:tc>
          <w:tcPr>
            <w:tcW w:type="dxa" w:w="187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實際檢討日期</w:t>
            </w:r>
          </w:p>
        </w:tc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偏差／風險／原因</w:t>
            </w:r>
          </w:p>
        </w:tc>
        <w:tc>
          <w:tcPr>
            <w:tcW w:type="dxa" w:w="226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決議及下一步</w:t>
            </w:r>
          </w:p>
        </w:tc>
        <w:tc>
          <w:tcPr>
            <w:tcW w:type="dxa" w:w="283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4"/>
              </w:rPr>
              <w:t>責任／期限／覆核證據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待填實際日期</w:t>
            </w:r>
          </w:p>
        </w:tc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待填；無資料則明記缺值與原因</w:t>
            </w:r>
          </w:p>
        </w:tc>
        <w:tc>
          <w:tcPr>
            <w:tcW w:type="dxa" w:w="226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待協會決議</w:t>
            </w:r>
          </w:p>
        </w:tc>
        <w:tc>
          <w:tcPr>
            <w:tcW w:type="dxa" w:w="283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4"/>
              </w:rPr>
              <w:t>待指定角色；待填真實期限及證據位置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8｜證據索引與核定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  <w:cantSplit/>
        </w:trPr>
        <w:tc>
          <w:tcPr>
            <w:tcW w:type="dxa" w:w="243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證據項目</w:t>
            </w:r>
          </w:p>
        </w:tc>
        <w:tc>
          <w:tcPr>
            <w:tcW w:type="dxa" w:w="4592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目前依據／應附來源</w:t>
            </w:r>
          </w:p>
        </w:tc>
        <w:tc>
          <w:tcPr>
            <w:tcW w:type="dxa" w:w="2381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文件內位置</w:t>
            </w:r>
          </w:p>
        </w:tc>
        <w:tc>
          <w:tcPr>
            <w:tcW w:type="dxa" w:w="362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現況</w:t>
            </w:r>
          </w:p>
        </w:tc>
        <w:tc>
          <w:tcPr>
            <w:tcW w:type="dxa" w:w="2608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覆核責任／核定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 I01-E01 文字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官方查核佐證文件資料表（附件四十六）PDF第1頁，指標1；評核表PDF第1頁，指標1。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表1；第1節。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文字已據有效清冊登錄；官方標示中的頁碼註記不延伸解讀為本案已核實之手冊或官網證據。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協會核對申請版本與實際適用要求。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協會使命／定位與客群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協會正式資料、決議或實際需求證據；本次僅有核心機構輪廓文字。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第2–3節、圖1。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正式使命、調查、需求來源/日期/範圍均待補。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協會指定實際權責者核實並留來源。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策略、年度績效指標與基準/目標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正式策略/年度計畫決議、同口徑原始資料及計算紀錄。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表3–5。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候選公式可供決議；基準、目標、實績均未提供。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協會核定定義、目標與資料責任；計算覆核者待指定。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資源、法規與品質條件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實際資源盤點與有效規範/資格/品質檢查記錄。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第2、6節及表6–7。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尚未覆核；不得解讀為法規結論或可開課核准。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由具權責人員依實際範圍覆核並留下依據。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實際執行與成果</w:t>
            </w:r>
          </w:p>
        </w:tc>
        <w:tc>
          <w:tcPr>
            <w:tcW w:type="dxa" w:w="4592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有日期、範圍、原始紀錄的實際執行證據；依內容交叉引用I03/I05。</w:t>
            </w:r>
          </w:p>
        </w:tc>
        <w:tc>
          <w:tcPr>
            <w:tcW w:type="dxa" w:w="2381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表2、表4–5；季度檢討紀錄。</w:t>
            </w:r>
          </w:p>
        </w:tc>
        <w:tc>
          <w:tcPr>
            <w:tcW w:type="dxa" w:w="362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未提供；本稿無課程或成果宣稱。</w:t>
            </w:r>
          </w:p>
        </w:tc>
        <w:tc>
          <w:tcPr>
            <w:tcW w:type="dxa" w:w="2608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原始資料所有者填證，協會授權覆核者確認。</w:t>
            </w:r>
          </w:p>
        </w:tc>
      </w:tr>
    </w:tbl>
    <w:p>
      <w:pPr>
        <w:spacing w:after="20"/>
      </w:pP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/>
          <w:color w:val="17365D"/>
          <w:sz w:val="16"/>
        </w:rPr>
        <w:t>版本／核定欄（留待真實程序使用）：版本代碼：待填　｜　實際核定日期：待填　｜　決議或會議證據位置：待填　｜　核決功能：待協會依權責指定　｜　真實姓名與簽章：取得實際授權及簽署後始填。</w:t>
      </w:r>
    </w:p>
    <w:p>
      <w:pPr>
        <w:pStyle w:val="Heading1"/>
        <w:keepNext/>
        <w:spacing w:after="80" w:before="140" w:line="252" w:lineRule="auto"/>
      </w:pPr>
      <w:r>
        <w:rPr>
          <w:rFonts w:ascii="Microsoft JhengHei" w:hAnsi="Microsoft JhengHei" w:eastAsia="Microsoft JhengHei" w:cs="Microsoft JhengHei"/>
          <w:b/>
          <w:color w:val="17365D"/>
          <w:sz w:val="28"/>
        </w:rPr>
        <w:t>9｜I01-E01真實升格檢核與替換清單</w:t>
      </w:r>
    </w:p>
    <w:p>
      <w:pPr>
        <w:spacing w:after="60" w:before="0" w:line="254" w:lineRule="auto"/>
      </w:pPr>
      <w:r>
        <w:rPr>
          <w:rFonts w:ascii="Microsoft JhengHei" w:hAnsi="Microsoft JhengHei" w:eastAsia="Microsoft JhengHei" w:cs="Microsoft JhengHei"/>
          <w:b w:val="0"/>
          <w:color w:val="526171"/>
          <w:sz w:val="16"/>
        </w:rPr>
        <w:t>以下各項須以真實原始資料逐項核實並由協會按實際權責決議。未完成項目維持「待協會決議／待填實績」；完成後更新版本與來源位置。本表不構成核准。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  <w:cantSplit/>
        </w:trPr>
        <w:tc>
          <w:tcPr>
            <w:tcW w:type="dxa" w:w="794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檢核</w:t>
            </w:r>
          </w:p>
        </w:tc>
        <w:tc>
          <w:tcPr>
            <w:tcW w:type="dxa" w:w="566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升格前必須核實的事項</w:t>
            </w:r>
          </w:p>
        </w:tc>
        <w:tc>
          <w:tcPr>
            <w:tcW w:type="dxa" w:w="5159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真實證據／欄位</w:t>
            </w:r>
          </w:p>
        </w:tc>
        <w:tc>
          <w:tcPr>
            <w:tcW w:type="dxa" w:w="4025"/>
            <w:vAlign w:val="center"/>
            <w:shd w:fill="17365D"/>
            <w:tcMar>
              <w:top w:w="75" w:type="dxa"/>
              <w:start w:w="75" w:type="dxa"/>
              <w:bottom w:w="75" w:type="dxa"/>
              <w:end w:w="75" w:type="dxa"/>
            </w:tcMar>
            <w:tcBorders>
              <w:top w:val="single" w:sz="4" w:space="0" w:color="C7D3DE"/>
              <w:left w:val="single" w:sz="4" w:space="0" w:color="C7D3DE"/>
              <w:bottom w:val="single" w:sz="4" w:space="0" w:color="C7D3DE"/>
              <w:right w:val="single" w:sz="4" w:space="0" w:color="C7D3DE"/>
              <w:insideH w:val="single" w:sz="4" w:space="0" w:color="C7D3DE"/>
              <w:insideV w:val="single" w:sz="4" w:space="0" w:color="C7D3DE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5"/>
              </w:rPr>
              <w:t>結果／覆核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使命、定位及目標市場是否由協會正式採用；目標客群與需求是否有可追溯來源。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正式文字、調查方法、日期/期間、範圍、限制與決議位置。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待填；由協會權責者覆核。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三年期間、年度策略主軸、里程碑與績效指標是否有明確決議。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實際起訖年、各年目標、基準測量、計算口徑及資料源。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待填；不得以相對年度框架當正式期限。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每項課程方向是否符合市場需求、現有資源、適用法規與品質條件。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實際課程名稱（決議後）、課程規劃版本、資源檢核及法規/品質覆核證據。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待填；不填未開辦或未核定課程。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公式、分母、缺值規則、來源、檢討頻率及責任角色是否能重算。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真實基準/實績/目標表、來源定位、覆核者與計算紀錄。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待填；來源不足則不適用或待建基線。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本件是否與文件編號 0001《中長程業務發展策略地圖》主件一致並保持分工。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取得主件核定版後對照策略方向；本件僅保留因果、績效指標口徑及追溯資訊。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待交叉覆核；不複製主件正文。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是否完成季度/年度檢討機制、風險觸發與版本管理。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實際責任、檢討紀錄、決議、修訂理由、後續追蹤及證據位置。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  <w:shd w:fill="F5F8FA"/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待填；不存在的檢討不得補寫為已發生。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□</w:t>
            </w:r>
          </w:p>
        </w:tc>
        <w:tc>
          <w:tcPr>
            <w:tcW w:type="dxa" w:w="566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是否由授權者核定，並能定位所有引用資料。</w:t>
            </w:r>
          </w:p>
        </w:tc>
        <w:tc>
          <w:tcPr>
            <w:tcW w:type="dxa" w:w="5159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依協會規則保存之實際核定紀錄、正式日期、真人姓名/角色、簽章及檔案位置。</w:t>
            </w:r>
          </w:p>
        </w:tc>
        <w:tc>
          <w:tcPr>
            <w:tcW w:type="dxa" w:w="4025"/>
            <w:vAlign w:val="top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space="0" w:color="D2DCE4"/>
              <w:left w:val="single" w:sz="4" w:space="0" w:color="D2DCE4"/>
              <w:bottom w:val="single" w:sz="4" w:space="0" w:color="D2DCE4"/>
              <w:right w:val="single" w:sz="4" w:space="0" w:color="D2DCE4"/>
              <w:insideH w:val="single" w:sz="4" w:space="0" w:color="D2DCE4"/>
              <w:insideV w:val="single" w:sz="4" w:space="0" w:color="D2DCE4"/>
            </w:tcBorders>
          </w:tcPr>
          <w:p>
            <w:pPr>
              <w:spacing w:after="0" w:before="0" w:line="245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63746"/>
                <w:sz w:val="15"/>
              </w:rPr>
              <w:t>核定欄全部待填；不得代簽或推定核准。</w:t>
            </w:r>
          </w:p>
        </w:tc>
      </w:tr>
    </w:tbl>
    <w:p>
      <w:pPr>
        <w:spacing w:after="20"/>
      </w:pPr>
    </w:p>
    <w:p>
      <w:pPr>
        <w:spacing w:after="40" w:before="0" w:line="254" w:lineRule="auto"/>
      </w:pPr>
      <w:r>
        <w:rPr>
          <w:rFonts w:ascii="Microsoft JhengHei" w:hAnsi="Microsoft JhengHei" w:eastAsia="Microsoft JhengHei" w:cs="Microsoft JhengHei"/>
          <w:b/>
          <w:color w:val="9C2F2F"/>
          <w:sz w:val="16"/>
        </w:rPr>
        <w:t>升格判斷：只有在策略方向、三年目標及基準、資料來源、責任角色、季度/年度檢討和正式核定證據均已由真實資料補齊並覆核後，才可依協會文件管制作業更新狀態。此 製作者 工作稿不授予任何通過、核定或對外發布狀態。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26" w:right="794" w:bottom="709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 w:val="0"/>
        <w:color w:val="526171"/>
        <w:sz w:val="16"/>
      </w:rPr>
      <w:t xml:space="preserve">內部控管資料  ·  文件編號 0002  ·  頁 </w:t>
    </w:r>
    <w:r>
      <w:rPr>
        <w:rFonts w:ascii="Microsoft JhengHei" w:hAnsi="Microsoft JhengHei" w:eastAsia="Microsoft JhengHei" w:cs="Microsoft JhengHei"/>
        <w:b w:val="0"/>
        <w:color w:val="526171"/>
        <w:sz w:val="16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52" w:lineRule="auto"/>
      <w:jc w:val="right"/>
    </w:pPr>
    <w:r>
      <w:rPr>
        <w:rFonts w:ascii="Microsoft JhengHei" w:hAnsi="Microsoft JhengHei" w:eastAsia="Microsoft JhengHei" w:cs="Microsoft JhengHei"/>
        <w:b/>
        <w:color w:val="526171"/>
        <w:sz w:val="16"/>
      </w:rPr>
      <w:t>I01-E01  ｜  人類決策草案・未核定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537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策略因果鏈與三年KPI對照表</dc:title>
  <dc:subject>可讀性修訂 R01；需求對應 I01-E01；文件編號 0002</dc:subject>
  <dc:creator/>
  <cp:keywords>I01-E01; QE003; HUMAN_DECISION_DRAFT; sequence_id=0002; requirement_id=I01-E01; source_candidate_sha256=15827dcccf5368a3d29fda74468c331f8bd6ad6de5296ae3ff5c8af43db8e895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