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8"/>
        </w:rPr>
        <w:t>合成示範稿｜合成演練示例，非協會實際事件/課程/紀錄，未實際核准/結案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I16-E02／文件編號 0070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品質政策／品質世代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內部控管資料／內部控管資料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文件狀態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合成示範稿；尚未核准，不得作為協會實際事件紀錄或正式核定版本。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矯正與預防措施措施負責角色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以F-01記錄唯一案件編號、發現時間/位置、訓練活動與工具、資料類型及直接觀察。資訊不足仍先開案並註明未知。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F-01；案件索引；通報對象與時間。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F-02；停止/隔離/保全紀錄；證據位置。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F-02影響範圍、計數、理由與覆核。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F-03時間線；來源與證據索引。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F-04根因、證據、替代解釋與覆核。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F-04措施清單與期限；未完成風險。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措施完成後按預先定義的資料集/樣本、門檻、次數與計數口徑檢查。比較來源、輸入、輸出、重複/遺漏數及覆核；未達標退回F-04。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F-05測試條件、各次計數、證據、驗證人與結果。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F-06檢核；結案/退回決議；授權依據。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F-06趨勢欄；關聯案件；後續行動及期限。</w:t>
            </w:r>
          </w:p>
        </w:tc>
      </w:tr>
    </w:tbl>
    <w:p>
      <w:pPr>
        <w:spacing w:after="20"/>
      </w:pPr>
    </w:p>
    <w:p>
      <w:pPr>
        <w:pStyle w:val="Heading1"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S1 重大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S2 顯著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S3 局部受控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停止測試並保留證據；指定責任角色修正/重測；範圍擴大、資料輸出或再發即升為S2/S1重評。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合成示範稿｜合成演練示例，非協會實際事件/課程/紀錄，未實際核准/結案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SIM-矯正與預防措施-001；模擬班級識別：SIM-I16-01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合成案例；測試檔欄位SIM-TEST-FILE-001（虛構識別碼，非實存檔案）。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F-02隔離欄位、F-03時間線；本範例未附實際電子檔。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SIM-D+1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F-04措施欄；8筆來源資料逐筆核對的合成結果。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SIM-D+2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F-05：SIM-RUN-01（8列／0重複）；SIM-RUN-02（8列／0重複）；識別碼為虛構。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</w:pPr>
      <w:r>
        <w:t>F-01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</w:pPr>
      <w:r>
        <w:t>F-02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]S1重大 [ ]S2顯著 [ ]S3局部受控；選級理由與證據：________________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</w:pPr>
      <w:r>
        <w:t>F-03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只記可查證事實；分析/推論另填F-04。每筆附原始來源或標記待補。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F-04 根因分析與矯正與預防措施措施台帳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</w:pPr>
      <w:r>
        <w:t>F-05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在執行措施前先寫清楚測試資料集、版本、成功門檻、分母、重複定義、執行次數與獨立覆核者；測後不得改門檻配合結果。未成功、計數不一致、證據不可重現或執行者兼驗證者時，判為未證明並退回F-04。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</w:pPr>
      <w:r>
        <w:t>F-06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F-01至F-06；核准角色與授權依據。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第5節及F-02；核准版本或控制文件定位。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F-01至F-03；現場來源與資料來源。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F-03至F-06；來源、輸入/輸出、分母及重跑證據。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F-01至F-06；唯讀原件/版本/交接與保存規則。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F-05/F-06；真實授權與稽核軌跡。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</w:pPr>
      <w:r>
        <w:t>附錄 A I16-E02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SIM-矯正與預防措施-001；SIM-I16-01。模擬測試中8筆虛構訓練紀錄有2筆重複；真實資料建立前停止。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S2暫定：範本缺陷若未修正可能延續到正式匯入；本案例沒有真實影響。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SIM-矯正與預防措施措施負責角色（虛構標籤，無真人指派）。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SIM-D0圍堵；SIM-D+1修正；SIM-D+2驗證。均為相對演練標記。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I16-E02 專屬「要求—資料來源—欄位/指標—結果—證據位置—覆核」追溯表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04"/>
        <w:gridCol w:w="2880"/>
        <w:gridCol w:w="2952"/>
        <w:gridCol w:w="2304"/>
        <w:gridCol w:w="195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官方查核表原頁5；有效要求清冊I16-E02列。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F-01受理；F-02分級/圍堵；F-03事實/證據。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第1、4至6節；F-01至F-03；表1；官方頁5。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I16-E02有效要求列所列章節與表格。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F-04根因/矯正與預防措施；閉環表的責任、期限、驗證。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第6節；F-04；表2及表3。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I16-E02有效要求列的效果驗證、核准、再發/趨勢與公式。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F-05/F-06；兩次乾跑；準時結案率/再發率。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第7節；F-05/F-06；合成替換登錄表。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F-01至F-06；SOURCE_READ_SET記錄PDF來源雜湊。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本附錄只追溯I16-E02的異常處理方法、紀錄與工具；合成值不提供其他訓練要求的事實、活動或成效證明。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I16-E02｜內部控管資料｜草案；核准與結案待填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I16-E02｜內部控管資料｜草案；核准與結案待填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合成示範稿｜合成演練示例，非協會實際事件/課程/紀錄，未實際核准/結案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合成示範稿｜合成演練示例，非協會實際事件/課程/紀錄，未實際核准/結案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 R01；需求對應 I16-E02；文件編號 0070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