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合成示例，非協會實際成果｜本件為合成示例，不是協會課程、學員、核定目標或實際成果。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合成示範稿；可編輯工作稿；不得作實際成果或評核結果使用。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尚待補入正式原始資料。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尚待補入正式原始資料。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合成示例；非協會成果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headerReference w:type="default" r:id="rId11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合成示例，非協會實際成果。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尚待補入正式原始資料。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尚待補入正式原始資料。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改善／擴散決策與待決紀錄</w:t>
      </w:r>
    </w:p>
    <w:p>
      <w:pPr>
        <w:keepLines/>
        <w:spacing w:after="100"/>
      </w:pPr>
      <w:r>
        <w:rPr>
          <w:b/>
        </w:rPr>
        <w:t>決策狀態：尚待補入正式原始資料。</w:t>
      </w:r>
      <w:r>
        <w:t>本工作稿未取得可核實的協會實際前後測、樣本母體、核定目標、結果覆核或決議原件；合成示例只供演算說明，不作協會改善或擴散決策依據。</w:t>
      </w:r>
    </w:p>
    <w:p>
      <w:pPr>
        <w:keepLines/>
        <w:spacing w:after="80"/>
      </w:pPr>
      <w:r>
        <w:t>決策前依序完成來源與配對核驗、按核定口徑重算並覆核、評估證據強度與限制，再由授權人記錄處置。證據不足時維持待補狀態；自評改變不得單獨推論為訓練造成的效果。</w:t>
      </w:r>
    </w:p>
    <w:p>
      <w:pPr>
        <w:keepLines/>
        <w:spacing w:after="80"/>
      </w:pPr>
      <w:r>
        <w:rPr>
          <w:b/>
        </w:rPr>
        <w:t>1. 核實來源：</w:t>
      </w:r>
      <w:r>
        <w:t>正式量表與版次、適用班次、施測期間、應評估母體、前後測配對、未回覆及缺漏原因。</w:t>
      </w:r>
    </w:p>
    <w:p>
      <w:pPr>
        <w:keepLines/>
        <w:spacing w:after="80"/>
      </w:pPr>
      <w:r>
        <w:rPr>
          <w:b/>
        </w:rPr>
        <w:t>2. 覆核結果：</w:t>
      </w:r>
      <w:r>
        <w:t>確認原始資料、分子與分母、成果定義及門檻的核定來源，重算前後差異與成果率，並留存覆核人及附件位置。</w:t>
      </w:r>
    </w:p>
    <w:p>
      <w:pPr>
        <w:keepLines/>
        <w:spacing w:after="80"/>
      </w:pPr>
      <w:r>
        <w:rPr>
          <w:b/>
        </w:rPr>
        <w:t>3. 評估處置：</w:t>
      </w:r>
      <w:r>
        <w:t>依可核實結果、證據強度及限制，說明改善措施或擴散適用條件；未達到或不足以判定時，記錄持續監測、暫不擴散或補件後再議的理由。</w:t>
      </w:r>
    </w:p>
    <w:p>
      <w:pPr>
        <w:keepLines/>
        <w:spacing w:after="80"/>
      </w:pPr>
      <w:r>
        <w:rPr>
          <w:b/>
        </w:rPr>
        <w:t>4. 核定留痕：</w:t>
      </w:r>
      <w:r>
        <w:t>記錄處置選項、判斷依據、適用範圍、責任角色、期限、追蹤指標、決策與覆核人、日期及正式文件位置。</w:t>
      </w:r>
    </w:p>
    <w:p>
      <w:pPr>
        <w:pStyle w:val="Heading2"/>
        <w:keepNext/>
      </w:pPr>
      <w:r>
        <w:t>決策紀錄欄位（取得原始資料並完成覆核後填寫）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15"/>
        <w:gridCol w:w="4248"/>
        <w:gridCol w:w="2059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本稿現況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取得真實資料後填寫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證據／覆核位置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實際成果與證據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 w:eastAsia="Microsoft JhengHei"/>
                <w:color w:val="232F3D"/>
                <w:sz w:val="16"/>
              </w:rPr>
              <w:t>待補原始資料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期間、母體／樣本、完整配對、未回覆、前後測及重算結果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量表、名冊、原始答案、計算表；覆核人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決策選項（擇一）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未作實際判定；本稿不預勾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□ 改善　□ 持續監測　□ 擴散　□ 暫不擴散　□ 補件後再議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核定決議及版本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處置內容與範圍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待真實證據及核定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改善主題或擴散對象、適用條件、資源、風險及停止條件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處置計畫、佐證索引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責任與追蹤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未提供可核實資料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責任角色、完成期限、追蹤頻率及觀察指標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追蹤紀錄及覆核人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決策核定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未取得決策／核定原件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決策人、核定人、日期、簽章、核定範圍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正式原件與檔案位置</w:t>
            </w:r>
          </w:p>
        </w:tc>
      </w:tr>
    </w:tbl>
    <w:p>
      <w:pPr>
        <w:keepLines/>
        <w:spacing w:before="80"/>
      </w:pPr>
      <w:r>
        <w:t>本表未填入協會實際決議、核定人、日期或成果；以上欄位須以原始證據及正式核定資料替換後，才可作為執行紀錄。</w:t>
      </w:r>
    </w:p>
    <w:p>
      <w:pPr>
        <w:pStyle w:val="Heading1"/>
        <w:keepNext/>
        <w:pageBreakBefore/>
      </w:pPr>
      <w:r>
        <w:t>12.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尚待補入正式原始資料。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t>13.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合成示範稿／尚待補入正式原始資料。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</w:tbl>
    <w:p>
      <w:pPr>
        <w:spacing w:after="20"/>
      </w:pPr>
    </w:p>
    <w:p>
      <w:pPr>
        <w:sectPr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0" w:after="100"/>
      </w:pPr>
      <w:r>
        <w:rPr>
          <w:rFonts w:ascii="Microsoft JhengHei" w:hAnsi="Microsoft JhengHei" w:eastAsia="Microsoft JhengHei"/>
          <w:b/>
          <w:color w:val="183A56"/>
          <w:sz w:val="28"/>
        </w:rPr>
        <w:t>附表 B I18-E08成果指標與資料來源矩陣</w:t>
      </w:r>
    </w:p>
    <w:p>
      <w:pPr>
        <w:spacing w:after="12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此矩陣把指標、分子、分母、期間、來源、基準、實績與目標合併列示。表內計算值均為合成示例，​不是協會實績；協會實際期間、來源原件、基準、目標及成果目前均為 尚待補入正式原始資料，取得原件並完成核定前不得升格為實際成果。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4003"/>
        <w:gridCol w:w="3795"/>
        <w:gridCol w:w="3707"/>
        <w:gridCol w:w="391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80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901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五構面整體平均分（前後比較）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前測合成分數加總 172；後測 198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前、後測各 60 個題項答值（合成）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核心概念與適用範圍平均分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35；後測 38（合成）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準備與流程平均分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36；後測 44（合成）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意願與溝通平均分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37；後測 44（合成）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安全意識與專業界線平均分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33；後測 41（合成）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練習與反思平均分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31；後測 31（合成）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成果率（個案整體分增加至少 0.75 分）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個合成個案達示例門檻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6 個完整合成配對個案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五構面整體平均變化率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後測平均−前測平均 = 0.433333333333（合成）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3035"/>
        <w:gridCol w:w="3642"/>
        <w:gridCol w:w="2877"/>
        <w:gridCol w:w="3259"/>
        <w:gridCol w:w="260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233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</w:t>
            </w:r>
          </w:p>
        </w:tc>
        <w:tc>
          <w:tcPr>
            <w:tcW w:type="dxa" w:w="2088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實績／結果</w:t>
            </w:r>
          </w:p>
        </w:tc>
        <w:tc>
          <w:tcPr>
            <w:tcW w:type="dxa" w:w="167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五構面整體平均分（前後比較）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172 ÷ 60 = 2.8667（合成）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198 ÷ 60 = 3.3000（合成例；非協會實績）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核心概念與適用範圍平均分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35 ÷ 12 = 2.9167（合成）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38 ÷ 12 = 3.1667（合成例；非協會實績）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準備與流程平均分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36 ÷ 12 = 3.0000（合成）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44 ÷ 12 = 3.6667（合成例；非協會實績）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意願與溝通平均分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37 ÷ 12 = 3.0833（合成）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44 ÷ 12 = 3.6667（合成例；非協會實績）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安全意識與專業界線平均分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33 ÷ 12 = 2.7500（合成）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41 ÷ 12 = 3.4167（合成例；非協會實績）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練習與反思平均分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31 ÷ 12 = 2.5833（合成）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31 ÷ 12 = 2.5833（合成例；非協會實績）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成果率（個案整體分增加至少 0.75 分）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2.8667（合成）；0.75 分為未核定示例門檻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÷ 6 = 0.0%（合成例；非協會實績）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定義及門檻待取得／核定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五構面整體平均變化率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0.151162790698 = 15.1163%（合成例；非協會實績）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</w:tbl>
    <w:p>
      <w:pPr>
        <w:spacing w:before="120" w:after="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計算口徑：成果率＝符合門檻個案數／可評估個案數；變化率＝（後測平均－前測平均）／前測平均。正式使用時須以核定指標定義、真實配對資料及原件來源重新計算，並由授權人覆核。</w:t>
      </w:r>
    </w:p>
    <w:sectPr w:rsidR="00FC693F" w:rsidRPr="0006063C" w:rsidSect="00034616"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合成示範稿  |  尚待補入正式原始資料  |  I18-E08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可讀性修訂 R01；需求對應 I18-E08；文件編號 0101</dc:subject>
  <dc:creator>TTQS 文件製作工作稿</dc:creator>
  <cp:keywords>sequence_id=0101; requirement_id=I18-E08; source_candidate_sha256=f204e1df2fe568a63f7cd52a366b3031f09f18817adc96dd9db4b351ee250621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