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Microsoft JhengHei" w:hAnsi="Microsoft JhengHei" w:eastAsia="Microsoft JhengHei"/>
          <w:b/>
          <w:color w:val="284B63"/>
          <w:sz w:val="36"/>
        </w:rPr>
        <w:t>訓練評估方法與成效指標對照表</w:t>
      </w:r>
    </w:p>
    <w:p>
      <w:pPr>
        <w:widowControl/>
      </w:pPr>
      <w:r>
        <w:rPr>
          <w:rFonts w:ascii="Microsoft JhengHei" w:hAnsi="Microsoft JhengHei" w:eastAsia="Microsoft JhengHei"/>
          <w:b w:val="0"/>
          <w:color w:val="263746"/>
          <w:sz w:val="18"/>
        </w:rPr>
        <w:t>指標8：課程規劃與評估｜將課程需求、學習目標、評量方法、指標計算及可查證據逐項連結</w:t>
      </w:r>
    </w:p>
    <w:p>
      <w:pPr>
        <w:keepLines/>
        <w:pageBreakBefore w:val="0"/>
        <w:spacing w:before="60" w:after="100"/>
      </w:pPr>
      <w:r>
        <w:rPr>
          <w:b/>
        </w:rPr>
        <w:t>目的：</w:t>
      </w:r>
      <w:r>
        <w:t>對照目標、教法、評量及成效指標</w:t>
      </w:r>
      <w:r>
        <w:t>；</w:t>
      </w:r>
      <w:r>
        <w:rPr>
          <w:b/>
        </w:rPr>
        <w:t>做法：</w:t>
      </w:r>
      <w:r>
        <w:t>逐目標連結計算口徑與證據位置</w:t>
      </w:r>
      <w:r>
        <w:t>；</w:t>
      </w:r>
      <w:r>
        <w:rPr>
          <w:b/>
        </w:rPr>
        <w:t>責任：</w:t>
      </w:r>
      <w:r>
        <w:t>課程設計及評量覆核角色待指定</w:t>
      </w:r>
      <w:r>
        <w:t>；</w:t>
      </w:r>
      <w:r>
        <w:rPr>
          <w:b/>
        </w:rPr>
        <w:t>證據：</w:t>
      </w:r>
      <w:r>
        <w:t>本表、核定計畫與評量原件</w:t>
      </w:r>
      <w:r>
        <w:t>；</w:t>
      </w:r>
      <w:r>
        <w:rPr>
          <w:b/>
        </w:rPr>
        <w:t>現況：</w:t>
      </w:r>
      <w:r>
        <w:t>工作稿，會議、核定及成果尚未證實</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3312"/>
        <w:gridCol w:w="6696"/>
      </w:tblGrid>
      <w:tr>
        <w:trPr>
          <w:tblHeader w:val="true"/>
          <w:cantSplit/>
          <w:cantSplit/>
        </w:trPr>
        <w:tc>
          <w:tcPr>
            <w:tcW w:type="dxa" w:w="331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5"/>
              </w:rPr>
              <w:t>識別與定位</w:t>
            </w:r>
          </w:p>
        </w:tc>
        <w:tc>
          <w:tcPr>
            <w:tcW w:type="dxa" w:w="669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5"/>
              </w:rPr>
              <w:t>狀態／界線</w:t>
            </w:r>
          </w:p>
        </w:tc>
      </w:tr>
      <w:tr>
        <w:trPr>
          <w:cantSplit/>
          <w:cantSplit/>
        </w:trPr>
        <w:tc>
          <w:tcPr>
            <w:tcW w:type="dxa" w:w="33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6"/>
              </w:rPr>
              <w:t>0040｜指標8：課程規劃與評估｜交付文件 02｜工作稿</w:t>
            </w:r>
          </w:p>
        </w:tc>
        <w:tc>
          <w:tcPr>
            <w:tcW w:type="dxa" w:w="669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6"/>
              </w:rPr>
              <w:t>合成示範稿；待協會審議、核定及授權</w:t>
            </w:r>
          </w:p>
        </w:tc>
      </w:tr>
      <w:tr>
        <w:trPr>
          <w:cantSplit/>
          <w:cantSplit/>
        </w:trPr>
        <w:tc>
          <w:tcPr>
            <w:tcW w:type="dxa" w:w="33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6"/>
              </w:rPr>
              <w:t>課程發展方向</w:t>
            </w:r>
          </w:p>
        </w:tc>
        <w:tc>
          <w:tcPr>
            <w:tcW w:type="dxa" w:w="669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6"/>
              </w:rPr>
              <w:t>健康教育及傳統整復推拿技術為核心；保留依實際需求逐案設計其他課程</w:t>
            </w:r>
          </w:p>
        </w:tc>
      </w:tr>
      <w:tr>
        <w:trPr>
          <w:cantSplit/>
          <w:cantSplit/>
        </w:trPr>
        <w:tc>
          <w:tcPr>
            <w:tcW w:type="dxa" w:w="33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6"/>
              </w:rPr>
              <w:t>本會課程、會議、師資、評量及成果</w:t>
            </w:r>
          </w:p>
        </w:tc>
        <w:tc>
          <w:tcPr>
            <w:tcW w:type="dxa" w:w="669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6"/>
              </w:rPr>
              <w:t>未由本次來源核實；實際欄位均為 尚待補入正式原始資料</w:t>
            </w:r>
          </w:p>
        </w:tc>
      </w:tr>
    </w:tbl>
    <w:p>
      <w:pPr>
        <w:pStyle w:val="Heading1"/>
        <w:keepNext/>
      </w:pPr>
      <w:r>
        <w:t>1 目的、適用情境及官方要求直接回應</w:t>
      </w:r>
    </w:p>
    <w:p>
      <w:pPr>
        <w:widowControl/>
      </w:pPr>
      <w:r>
        <w:rPr>
          <w:rFonts w:ascii="Microsoft JhengHei" w:hAnsi="Microsoft JhengHei" w:eastAsia="Microsoft JhengHei"/>
          <w:b w:val="0"/>
          <w:color w:val="263746"/>
          <w:sz w:val="17"/>
        </w:rPr>
        <w:t>本表用於規劃與檢視每項學習目標是否由課程單元、教學方式與適切評量支持，並界定目標覆蓋率、資料口徑及證據定位。它是 指標8：課程規劃與評估 的評估方法與成效指標工作表，搭配課程規劃審查紀錄保存決議索引。</w:t>
      </w:r>
    </w:p>
    <w:p>
      <w:pPr>
        <w:widowControl/>
      </w:pPr>
      <w:r>
        <w:rPr>
          <w:rFonts w:ascii="Microsoft JhengHei" w:hAnsi="Microsoft JhengHei" w:eastAsia="Microsoft JhengHei"/>
          <w:b w:val="0"/>
          <w:color w:val="263746"/>
          <w:sz w:val="16"/>
        </w:rPr>
        <w:t>官方方框要求：「課程規劃會議紀錄展現訓練課程設計流程，擬定訓練評估方法並作為訓練成效評估的依據，且有佐證資料可查。」本表列出可直接核實的設計欄位；不代表本會已召開會議、核定方案或取得成效。</w:t>
      </w:r>
    </w:p>
    <w:p>
      <w:pPr>
        <w:pStyle w:val="Heading2"/>
        <w:keepNext/>
      </w:pPr>
      <w:r>
        <w:t>圖 1｜課程規劃、目標對應與評量核定流程（含決策）</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1483"/>
        <w:gridCol w:w="1699"/>
        <w:gridCol w:w="1613"/>
        <w:gridCol w:w="2074"/>
        <w:gridCol w:w="1584"/>
        <w:gridCol w:w="1555"/>
      </w:tblGrid>
      <w:tr>
        <w:trPr>
          <w:tblHeader w:val="true"/>
          <w:cantSplit/>
          <w:cantSplit/>
        </w:trPr>
        <w:tc>
          <w:tcPr>
            <w:tcW w:type="dxa" w:w="1483"/>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需求依據</w:t>
            </w:r>
          </w:p>
        </w:tc>
        <w:tc>
          <w:tcPr>
            <w:tcW w:type="dxa" w:w="1699"/>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能力差距與目標</w:t>
            </w:r>
          </w:p>
        </w:tc>
        <w:tc>
          <w:tcPr>
            <w:tcW w:type="dxa" w:w="1613"/>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單元與教法</w:t>
            </w:r>
          </w:p>
        </w:tc>
        <w:tc>
          <w:tcPr>
            <w:tcW w:type="dxa" w:w="207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 目標皆有評量？</w:t>
            </w:r>
          </w:p>
        </w:tc>
        <w:tc>
          <w:tcPr>
            <w:tcW w:type="dxa" w:w="158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方案審查</w:t>
            </w:r>
          </w:p>
        </w:tc>
        <w:tc>
          <w:tcPr>
            <w:tcW w:type="dxa" w:w="1555"/>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執行後評估</w:t>
            </w:r>
          </w:p>
        </w:tc>
      </w:tr>
      <w:tr>
        <w:trPr>
          <w:cantSplit/>
          <w:cantSplit/>
        </w:trPr>
        <w:tc>
          <w:tcPr>
            <w:tcW w:type="dxa" w:w="148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核原件與對象</w:t>
            </w:r>
          </w:p>
        </w:tc>
        <w:tc>
          <w:tcPr>
            <w:tcW w:type="dxa" w:w="16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定可觀察目標</w:t>
            </w:r>
          </w:p>
        </w:tc>
        <w:tc>
          <w:tcPr>
            <w:tcW w:type="dxa" w:w="161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排時程及資源</w:t>
            </w:r>
          </w:p>
        </w:tc>
        <w:tc>
          <w:tcPr>
            <w:tcW w:type="dxa" w:w="207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否→補設計；是→送核</w:t>
            </w:r>
          </w:p>
        </w:tc>
        <w:tc>
          <w:tcPr>
            <w:tcW w:type="dxa" w:w="15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權責角色留決議</w:t>
            </w:r>
          </w:p>
        </w:tc>
        <w:tc>
          <w:tcPr>
            <w:tcW w:type="dxa" w:w="155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以原始資料核算</w:t>
            </w:r>
          </w:p>
        </w:tc>
      </w:tr>
    </w:tbl>
    <w:p>
      <w:pPr>
        <w:widowControl/>
      </w:pPr>
      <w:r>
        <w:rPr>
          <w:rFonts w:ascii="Microsoft JhengHei" w:hAnsi="Microsoft JhengHei" w:eastAsia="Microsoft JhengHei"/>
          <w:b w:val="0"/>
          <w:color w:val="263746"/>
          <w:sz w:val="16"/>
        </w:rPr>
        <w:t>流程要點：所有目標與評量先完成映射並經授權審查後，才能依有效計畫執行；有未映射目標、來源不明、工具未核定或資源／安全條件未確認時，退回補正或暫緩放行。</w:t>
      </w:r>
    </w:p>
    <w:p>
      <w:r>
        <w:br w:type="page"/>
      </w:r>
    </w:p>
    <w:p>
      <w:pPr>
        <w:pStyle w:val="Heading1"/>
        <w:keepNext/>
      </w:pPr>
      <w:r>
        <w:t>2 需求依據、職能差距與目標映射</w:t>
      </w:r>
    </w:p>
    <w:p>
      <w:pPr>
        <w:widowControl/>
      </w:pPr>
      <w:r>
        <w:rPr>
          <w:rFonts w:ascii="Microsoft JhengHei" w:hAnsi="Microsoft JhengHei" w:eastAsia="Microsoft JhengHei"/>
          <w:b w:val="0"/>
          <w:color w:val="263746"/>
          <w:sz w:val="17"/>
        </w:rPr>
        <w:t>需求必須連結可查來源、對象及待發展能力。目標採可觀察行為描述，並註明條件、判定準則及適用範圍；不得以課程主題或出席情形替代學習目標。</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1944"/>
        <w:gridCol w:w="1728"/>
        <w:gridCol w:w="1800"/>
        <w:gridCol w:w="1987"/>
        <w:gridCol w:w="2549"/>
      </w:tblGrid>
      <w:tr>
        <w:trPr>
          <w:tblHeader w:val="true"/>
          <w:cantSplit/>
          <w:cantSplit/>
        </w:trPr>
        <w:tc>
          <w:tcPr>
            <w:tcW w:type="dxa" w:w="194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來源／日期／位置</w:t>
            </w:r>
          </w:p>
        </w:tc>
        <w:tc>
          <w:tcPr>
            <w:tcW w:type="dxa" w:w="1728"/>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對象與需求</w:t>
            </w:r>
          </w:p>
        </w:tc>
        <w:tc>
          <w:tcPr>
            <w:tcW w:type="dxa" w:w="180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待發展能力</w:t>
            </w:r>
          </w:p>
        </w:tc>
        <w:tc>
          <w:tcPr>
            <w:tcW w:type="dxa" w:w="1987"/>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差距證據</w:t>
            </w:r>
          </w:p>
        </w:tc>
        <w:tc>
          <w:tcPr>
            <w:tcW w:type="dxa" w:w="2549"/>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確認／覆核狀態</w:t>
            </w:r>
          </w:p>
        </w:tc>
      </w:tr>
      <w:tr>
        <w:trPr>
          <w:cantSplit/>
          <w:cantSplit/>
        </w:trPr>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〔待填原件〕</w:t>
            </w:r>
          </w:p>
        </w:tc>
        <w:tc>
          <w:tcPr>
            <w:tcW w:type="dxa" w:w="17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80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〔待分析〕</w:t>
            </w:r>
          </w:p>
        </w:tc>
        <w:tc>
          <w:tcPr>
            <w:tcW w:type="dxa" w:w="1987"/>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〔待定位〕</w:t>
            </w:r>
          </w:p>
        </w:tc>
        <w:tc>
          <w:tcPr>
            <w:tcW w:type="dxa" w:w="254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r>
      <w:tr>
        <w:trPr>
          <w:cantSplit/>
          <w:cantSplit/>
        </w:trPr>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〔待填原件〕</w:t>
            </w:r>
          </w:p>
        </w:tc>
        <w:tc>
          <w:tcPr>
            <w:tcW w:type="dxa" w:w="17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80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〔待分析〕</w:t>
            </w:r>
          </w:p>
        </w:tc>
        <w:tc>
          <w:tcPr>
            <w:tcW w:type="dxa" w:w="1987"/>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〔待定位〕</w:t>
            </w:r>
          </w:p>
        </w:tc>
        <w:tc>
          <w:tcPr>
            <w:tcW w:type="dxa" w:w="254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r>
    </w:tbl>
    <w:p>
      <w:pPr>
        <w:widowControl/>
      </w:pPr>
      <w:r>
        <w:rPr>
          <w:rFonts w:ascii="Microsoft JhengHei" w:hAnsi="Microsoft JhengHei" w:eastAsia="Microsoft JhengHei"/>
          <w:b w:val="0"/>
          <w:color w:val="263746"/>
          <w:sz w:val="15"/>
        </w:rPr>
        <w:t>表內括號欄僅為填寫位置。本次未提供市場調查、學員需求、能力差距或課程核定原件；空格不得視為已有調查或需求結論。</w:t>
      </w:r>
    </w:p>
    <w:p>
      <w:pPr>
        <w:pStyle w:val="Heading2"/>
        <w:keepNext/>
      </w:pPr>
      <w:r>
        <w:t>2.1 指標8：課程規劃與評估 必要追溯矩陣</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2683"/>
        <w:gridCol w:w="2683"/>
        <w:gridCol w:w="2226"/>
        <w:gridCol w:w="2414"/>
      </w:tblGrid>
      <w:tr>
        <w:trPr>
          <w:tblHeader w:val="true"/>
          <w:cantSplit/>
          <w:cantSplit/>
        </w:trPr>
        <w:tc>
          <w:tcPr>
            <w:tcW w:type="dxa" w:w="144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需求</w:t>
            </w:r>
          </w:p>
        </w:tc>
        <w:tc>
          <w:tcPr>
            <w:tcW w:type="dxa" w:w="144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能力差距</w:t>
            </w:r>
          </w:p>
        </w:tc>
        <w:tc>
          <w:tcPr>
            <w:tcW w:type="dxa" w:w="1195"/>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目標代碼</w:t>
            </w:r>
          </w:p>
        </w:tc>
        <w:tc>
          <w:tcPr>
            <w:tcW w:type="dxa" w:w="129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單元</w:t>
            </w:r>
          </w:p>
        </w:tc>
      </w:tr>
      <w:tr>
        <w:trPr>
          <w:cantSplit/>
          <w:cantSplit/>
        </w:trPr>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〔來源欄〕</w:t>
            </w:r>
          </w:p>
        </w:tc>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〔待分析〕</w:t>
            </w:r>
          </w:p>
        </w:tc>
        <w:tc>
          <w:tcPr>
            <w:tcW w:type="dxa" w:w="119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〔逐項編碼〕</w:t>
            </w:r>
          </w:p>
        </w:tc>
        <w:tc>
          <w:tcPr>
            <w:tcW w:type="dxa" w:w="129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〔單元代碼〕</w:t>
            </w:r>
          </w:p>
        </w:tc>
      </w:tr>
      <w:tr>
        <w:trPr>
          <w:cantSplit/>
          <w:cantSplit/>
        </w:trPr>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〔來源欄〕</w:t>
            </w:r>
          </w:p>
        </w:tc>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〔待分析〕</w:t>
            </w:r>
          </w:p>
        </w:tc>
        <w:tc>
          <w:tcPr>
            <w:tcW w:type="dxa" w:w="119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〔逐項編碼〕</w:t>
            </w:r>
          </w:p>
        </w:tc>
        <w:tc>
          <w:tcPr>
            <w:tcW w:type="dxa" w:w="129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〔單元代碼〕</w:t>
            </w:r>
          </w:p>
        </w:tc>
      </w:tr>
    </w:tbl>
    <w:p>
      <w:pPr>
        <w:pStyle w:val="Caption"/>
      </w:pPr>
      <w:r>
        <w:rPr>
          <w:color w:val="44546A"/>
          <w:sz w:val="18"/>
        </w:rPr>
        <w:t>續表｜下表接續列示同一筆資料的其餘欄位，請依相同項目核對。</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2371"/>
        <w:gridCol w:w="2371"/>
        <w:gridCol w:w="2727"/>
        <w:gridCol w:w="2537"/>
      </w:tblGrid>
      <w:tr>
        <w:trPr>
          <w:tblHeader w:val="true"/>
          <w:cantSplit/>
          <w:cantSplit/>
        </w:trPr>
        <w:tc>
          <w:tcPr>
            <w:tcW w:type="dxa" w:w="144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需求</w:t>
            </w:r>
          </w:p>
        </w:tc>
        <w:tc>
          <w:tcPr>
            <w:tcW w:type="dxa" w:w="144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教法</w:t>
            </w:r>
          </w:p>
        </w:tc>
        <w:tc>
          <w:tcPr>
            <w:tcW w:type="dxa" w:w="165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評量</w:t>
            </w:r>
          </w:p>
        </w:tc>
        <w:tc>
          <w:tcPr>
            <w:tcW w:type="dxa" w:w="1541"/>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證據</w:t>
            </w:r>
          </w:p>
        </w:tc>
      </w:tr>
      <w:tr>
        <w:trPr>
          <w:cantSplit/>
          <w:cantSplit/>
        </w:trPr>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〔來源欄〕</w:t>
            </w:r>
          </w:p>
        </w:tc>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〔待核方法〕</w:t>
            </w:r>
          </w:p>
        </w:tc>
        <w:tc>
          <w:tcPr>
            <w:tcW w:type="dxa" w:w="165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〔工具／題項〕</w:t>
            </w:r>
          </w:p>
        </w:tc>
        <w:tc>
          <w:tcPr>
            <w:tcW w:type="dxa" w:w="1541"/>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〔原件位置〕</w:t>
            </w:r>
          </w:p>
        </w:tc>
      </w:tr>
      <w:tr>
        <w:trPr>
          <w:cantSplit/>
          <w:cantSplit/>
        </w:trPr>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〔來源欄〕</w:t>
            </w:r>
          </w:p>
        </w:tc>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〔待核方法〕</w:t>
            </w:r>
          </w:p>
        </w:tc>
        <w:tc>
          <w:tcPr>
            <w:tcW w:type="dxa" w:w="165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〔工具／題項〕</w:t>
            </w:r>
          </w:p>
        </w:tc>
        <w:tc>
          <w:tcPr>
            <w:tcW w:type="dxa" w:w="1541"/>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〔原件位置〕</w:t>
            </w:r>
          </w:p>
        </w:tc>
      </w:tr>
    </w:tbl>
    <w:p>
      <w:pPr>
        <w:widowControl/>
      </w:pPr>
      <w:r>
        <w:rPr>
          <w:rFonts w:ascii="Microsoft JhengHei" w:hAnsi="Microsoft JhengHei" w:eastAsia="Microsoft JhengHei"/>
          <w:b w:val="0"/>
          <w:color w:val="263746"/>
          <w:sz w:val="15"/>
        </w:rPr>
        <w:t>一列對應一組可追溯關係；同一目標如跨單元，應逐列標明目標代碼，不重複計入覆蓋率分子。全部實際目標、需求來源及證據目前均 尚待補入正式原始資料。</w:t>
      </w:r>
    </w:p>
    <w:p>
      <w:r>
        <w:br w:type="page"/>
      </w:r>
    </w:p>
    <w:p>
      <w:pPr>
        <w:pStyle w:val="Heading1"/>
        <w:keepNext/>
      </w:pPr>
      <w:r>
        <w:t>3 學習目標、單元時程及課程資源</w:t>
      </w:r>
    </w:p>
    <w:p>
      <w:pPr>
        <w:widowControl/>
      </w:pPr>
      <w:r>
        <w:rPr>
          <w:rFonts w:ascii="Microsoft JhengHei" w:hAnsi="Microsoft JhengHei" w:eastAsia="Microsoft JhengHei"/>
          <w:b w:val="0"/>
          <w:color w:val="263746"/>
          <w:sz w:val="16"/>
        </w:rPr>
        <w:t>每個目標應說明完成者、可觀察行為、條件及核定標準。單元設計回應目標，時數與順序由需求、可用資源及安全條件決定；本表不預設課程名稱、時數、日期或師資。</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1613"/>
        <w:gridCol w:w="1267"/>
        <w:gridCol w:w="2232"/>
        <w:gridCol w:w="1469"/>
        <w:gridCol w:w="1699"/>
        <w:gridCol w:w="1728"/>
      </w:tblGrid>
      <w:tr>
        <w:trPr>
          <w:tblHeader w:val="true"/>
          <w:cantSplit/>
          <w:cantSplit/>
        </w:trPr>
        <w:tc>
          <w:tcPr>
            <w:tcW w:type="dxa" w:w="1613"/>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單元代碼／名稱</w:t>
            </w:r>
          </w:p>
        </w:tc>
        <w:tc>
          <w:tcPr>
            <w:tcW w:type="dxa" w:w="1267"/>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連結目標</w:t>
            </w:r>
          </w:p>
        </w:tc>
        <w:tc>
          <w:tcPr>
            <w:tcW w:type="dxa" w:w="223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主要內容與教法</w:t>
            </w:r>
          </w:p>
        </w:tc>
        <w:tc>
          <w:tcPr>
            <w:tcW w:type="dxa" w:w="1469"/>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時程／時數</w:t>
            </w:r>
          </w:p>
        </w:tc>
        <w:tc>
          <w:tcPr>
            <w:tcW w:type="dxa" w:w="1699"/>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教材／設備</w:t>
            </w:r>
          </w:p>
        </w:tc>
        <w:tc>
          <w:tcPr>
            <w:tcW w:type="dxa" w:w="1728"/>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負責條件</w:t>
            </w:r>
          </w:p>
        </w:tc>
      </w:tr>
      <w:tr>
        <w:trPr>
          <w:cantSplit/>
          <w:cantSplit/>
        </w:trPr>
        <w:tc>
          <w:tcPr>
            <w:tcW w:type="dxa" w:w="161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〔待核定〕</w:t>
            </w:r>
          </w:p>
        </w:tc>
        <w:tc>
          <w:tcPr>
            <w:tcW w:type="dxa" w:w="1267"/>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〔目標代碼〕</w:t>
            </w:r>
          </w:p>
        </w:tc>
        <w:tc>
          <w:tcPr>
            <w:tcW w:type="dxa" w:w="223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〔內容／方法〕</w:t>
            </w:r>
          </w:p>
        </w:tc>
        <w:tc>
          <w:tcPr>
            <w:tcW w:type="dxa" w:w="146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6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7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〔資格條件待核〕</w:t>
            </w:r>
          </w:p>
        </w:tc>
      </w:tr>
      <w:tr>
        <w:trPr>
          <w:cantSplit/>
          <w:cantSplit/>
        </w:trPr>
        <w:tc>
          <w:tcPr>
            <w:tcW w:type="dxa" w:w="161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〔待核定〕</w:t>
            </w:r>
          </w:p>
        </w:tc>
        <w:tc>
          <w:tcPr>
            <w:tcW w:type="dxa" w:w="1267"/>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〔目標代碼〕</w:t>
            </w:r>
          </w:p>
        </w:tc>
        <w:tc>
          <w:tcPr>
            <w:tcW w:type="dxa" w:w="223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〔內容／方法〕</w:t>
            </w:r>
          </w:p>
        </w:tc>
        <w:tc>
          <w:tcPr>
            <w:tcW w:type="dxa" w:w="146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6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7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〔資格條件待核〕</w:t>
            </w:r>
          </w:p>
        </w:tc>
      </w:tr>
      <w:tr>
        <w:trPr>
          <w:cantSplit/>
          <w:cantSplit/>
        </w:trPr>
        <w:tc>
          <w:tcPr>
            <w:tcW w:type="dxa" w:w="161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〔待核定〕</w:t>
            </w:r>
          </w:p>
        </w:tc>
        <w:tc>
          <w:tcPr>
            <w:tcW w:type="dxa" w:w="1267"/>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〔目標代碼〕</w:t>
            </w:r>
          </w:p>
        </w:tc>
        <w:tc>
          <w:tcPr>
            <w:tcW w:type="dxa" w:w="223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〔內容／方法〕</w:t>
            </w:r>
          </w:p>
        </w:tc>
        <w:tc>
          <w:tcPr>
            <w:tcW w:type="dxa" w:w="146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6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〔待核實〕</w:t>
            </w:r>
          </w:p>
        </w:tc>
        <w:tc>
          <w:tcPr>
            <w:tcW w:type="dxa" w:w="17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〔資格條件待核〕</w:t>
            </w:r>
          </w:p>
        </w:tc>
      </w:tr>
    </w:tbl>
    <w:p>
      <w:pPr>
        <w:pStyle w:val="Heading2"/>
        <w:keepNext/>
      </w:pPr>
      <w:r>
        <w:t>3.1 設計條件與適用界線</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1944"/>
        <w:gridCol w:w="5616"/>
        <w:gridCol w:w="2448"/>
      </w:tblGrid>
      <w:tr>
        <w:trPr>
          <w:tblHeader w:val="true"/>
          <w:cantSplit/>
          <w:cantSplit/>
        </w:trPr>
        <w:tc>
          <w:tcPr>
            <w:tcW w:type="dxa" w:w="194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設計面向</w:t>
            </w:r>
          </w:p>
        </w:tc>
        <w:tc>
          <w:tcPr>
            <w:tcW w:type="dxa" w:w="561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逐案核對欄位</w:t>
            </w:r>
          </w:p>
        </w:tc>
        <w:tc>
          <w:tcPr>
            <w:tcW w:type="dxa" w:w="2448"/>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不符合時</w:t>
            </w:r>
          </w:p>
        </w:tc>
      </w:tr>
      <w:tr>
        <w:trPr>
          <w:cantSplit/>
          <w:cantSplit/>
        </w:trPr>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教學者</w:t>
            </w:r>
          </w:p>
        </w:tc>
        <w:tc>
          <w:tcPr>
            <w:tcW w:type="dxa" w:w="561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姓名／職務／經歷／資格及適任性原件；不得推定已聘任</w:t>
            </w:r>
          </w:p>
        </w:tc>
        <w:tc>
          <w:tcPr>
            <w:tcW w:type="dxa" w:w="244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條件未核實，不排入正式方案</w:t>
            </w:r>
          </w:p>
        </w:tc>
      </w:tr>
      <w:tr>
        <w:trPr>
          <w:cantSplit/>
          <w:cantSplit/>
        </w:trPr>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學員</w:t>
            </w:r>
          </w:p>
        </w:tc>
        <w:tc>
          <w:tcPr>
            <w:tcW w:type="dxa" w:w="561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對象、先備條件、支持需求、招收及參與限制</w:t>
            </w:r>
          </w:p>
        </w:tc>
        <w:tc>
          <w:tcPr>
            <w:tcW w:type="dxa" w:w="244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調整方案並留審查決議</w:t>
            </w:r>
          </w:p>
        </w:tc>
      </w:tr>
      <w:tr>
        <w:trPr>
          <w:cantSplit/>
          <w:cantSplit/>
        </w:trPr>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教材與場地</w:t>
            </w:r>
          </w:p>
        </w:tc>
        <w:tc>
          <w:tcPr>
            <w:tcW w:type="dxa" w:w="561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教材版本、設備、空間、可近性、衛生與操作安全</w:t>
            </w:r>
          </w:p>
        </w:tc>
        <w:tc>
          <w:tcPr>
            <w:tcW w:type="dxa" w:w="244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先補足或暫停相關單元</w:t>
            </w:r>
          </w:p>
        </w:tc>
      </w:tr>
      <w:tr>
        <w:trPr>
          <w:cantSplit/>
          <w:cantSplit/>
        </w:trPr>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傳統整復推拿技術</w:t>
            </w:r>
          </w:p>
        </w:tc>
        <w:tc>
          <w:tcPr>
            <w:tcW w:type="dxa" w:w="561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內容範圍、示範／練習風險、告知及停止／轉介界線</w:t>
            </w:r>
          </w:p>
        </w:tc>
        <w:tc>
          <w:tcPr>
            <w:tcW w:type="dxa" w:w="244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依規範覆核，不作醫療診斷或療效承諾</w:t>
            </w:r>
          </w:p>
        </w:tc>
      </w:tr>
    </w:tbl>
    <w:p>
      <w:pPr>
        <w:widowControl/>
      </w:pPr>
      <w:r>
        <w:rPr>
          <w:rFonts w:ascii="Microsoft JhengHei" w:hAnsi="Microsoft JhengHei" w:eastAsia="Microsoft JhengHei"/>
          <w:b w:val="0"/>
          <w:color w:val="263746"/>
          <w:sz w:val="15"/>
        </w:rPr>
        <w:t>正式課程須依適用規範、授權、學員安全及實際資源覆核；此處為審查欄位，不表示已有師資、設備、課程或資格。</w:t>
      </w:r>
    </w:p>
    <w:p>
      <w:r>
        <w:br w:type="page"/>
      </w:r>
    </w:p>
    <w:p>
      <w:pPr>
        <w:pStyle w:val="Heading1"/>
        <w:keepNext/>
      </w:pPr>
      <w:r>
        <w:t>4 評量方法、工具及目標覆蓋率</w:t>
      </w:r>
    </w:p>
    <w:p>
      <w:pPr>
        <w:widowControl/>
      </w:pPr>
      <w:r>
        <w:rPr>
          <w:rFonts w:ascii="Microsoft JhengHei" w:hAnsi="Microsoft JhengHei" w:eastAsia="Microsoft JhengHei"/>
          <w:b w:val="0"/>
          <w:color w:val="263746"/>
          <w:sz w:val="16"/>
        </w:rPr>
        <w:t>評量方法須在實施前對應明確目標，列工具與版次、施測／觀察時點、評分或判定準則、負責角色、樣本條件、缺漏處理及原始資料位置。方法選項僅供逐案評估，不代表已採用或核定。</w:t>
      </w:r>
    </w:p>
    <w:tbl>
      <w:tblPr>
        <w:tblW w:type="dxa" w:w="9936"/>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1440"/>
        <w:gridCol w:w="1944"/>
        <w:gridCol w:w="1512"/>
        <w:gridCol w:w="1555"/>
        <w:gridCol w:w="1613"/>
        <w:gridCol w:w="1872"/>
      </w:tblGrid>
      <w:tr>
        <w:trPr>
          <w:tblHeader w:val="true"/>
          <w:cantSplit/>
          <w:cantSplit/>
        </w:trPr>
        <w:tc>
          <w:tcPr>
            <w:tcW w:type="dxa" w:w="144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目標代碼</w:t>
            </w:r>
          </w:p>
        </w:tc>
        <w:tc>
          <w:tcPr>
            <w:tcW w:type="dxa" w:w="194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評量方法</w:t>
            </w:r>
          </w:p>
        </w:tc>
        <w:tc>
          <w:tcPr>
            <w:tcW w:type="dxa" w:w="151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工具／版本</w:t>
            </w:r>
          </w:p>
        </w:tc>
        <w:tc>
          <w:tcPr>
            <w:tcW w:type="dxa" w:w="1555"/>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時點／樣本</w:t>
            </w:r>
          </w:p>
        </w:tc>
        <w:tc>
          <w:tcPr>
            <w:tcW w:type="dxa" w:w="1613"/>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判定準則</w:t>
            </w:r>
          </w:p>
        </w:tc>
        <w:tc>
          <w:tcPr>
            <w:tcW w:type="dxa" w:w="187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證據及限制</w:t>
            </w:r>
          </w:p>
        </w:tc>
      </w:tr>
      <w:tr>
        <w:trPr>
          <w:cantSplit/>
          <w:cantSplit/>
        </w:trPr>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〔目標代碼〕</w:t>
            </w:r>
          </w:p>
        </w:tc>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知識題／情境題（待選）</w:t>
            </w:r>
          </w:p>
        </w:tc>
        <w:tc>
          <w:tcPr>
            <w:tcW w:type="dxa" w:w="15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〔工具待核〕</w:t>
            </w:r>
          </w:p>
        </w:tc>
        <w:tc>
          <w:tcPr>
            <w:tcW w:type="dxa" w:w="155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〔依計畫核定〕</w:t>
            </w:r>
          </w:p>
        </w:tc>
        <w:tc>
          <w:tcPr>
            <w:tcW w:type="dxa" w:w="161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〔核定標準〕</w:t>
            </w:r>
          </w:p>
        </w:tc>
        <w:tc>
          <w:tcPr>
            <w:tcW w:type="dxa" w:w="18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原始答卷；不得外推因果</w:t>
            </w:r>
          </w:p>
        </w:tc>
      </w:tr>
      <w:tr>
        <w:trPr>
          <w:cantSplit/>
          <w:cantSplit/>
        </w:trPr>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〔目標代碼〕</w:t>
            </w:r>
          </w:p>
        </w:tc>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操作觀察（待選）</w:t>
            </w:r>
          </w:p>
        </w:tc>
        <w:tc>
          <w:tcPr>
            <w:tcW w:type="dxa" w:w="15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〔檢核表待核〕</w:t>
            </w:r>
          </w:p>
        </w:tc>
        <w:tc>
          <w:tcPr>
            <w:tcW w:type="dxa" w:w="155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〔依計畫核定〕</w:t>
            </w:r>
          </w:p>
        </w:tc>
        <w:tc>
          <w:tcPr>
            <w:tcW w:type="dxa" w:w="161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〔安全規準待核〕</w:t>
            </w:r>
          </w:p>
        </w:tc>
        <w:tc>
          <w:tcPr>
            <w:tcW w:type="dxa" w:w="18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逐項觀察；超出課程範圍不作資格認定</w:t>
            </w:r>
          </w:p>
        </w:tc>
      </w:tr>
      <w:tr>
        <w:trPr>
          <w:cantSplit/>
          <w:cantSplit/>
        </w:trPr>
        <w:tc>
          <w:tcPr>
            <w:tcW w:type="dxa" w:w="144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〔目標代碼〕</w:t>
            </w:r>
          </w:p>
        </w:tc>
        <w:tc>
          <w:tcPr>
            <w:tcW w:type="dxa" w:w="194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學習回饋／應用追蹤（待選）</w:t>
            </w:r>
          </w:p>
        </w:tc>
        <w:tc>
          <w:tcPr>
            <w:tcW w:type="dxa" w:w="15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〔問卷／追蹤表〕</w:t>
            </w:r>
          </w:p>
        </w:tc>
        <w:tc>
          <w:tcPr>
            <w:tcW w:type="dxa" w:w="155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〔依計畫核定〕</w:t>
            </w:r>
          </w:p>
        </w:tc>
        <w:tc>
          <w:tcPr>
            <w:tcW w:type="dxa" w:w="161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〔解讀規則〕</w:t>
            </w:r>
          </w:p>
        </w:tc>
        <w:tc>
          <w:tcPr>
            <w:tcW w:type="dxa" w:w="18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標明自陳與回覆偏差</w:t>
            </w:r>
          </w:p>
        </w:tc>
      </w:tr>
    </w:tbl>
    <w:p>
      <w:pPr>
        <w:pStyle w:val="Heading2"/>
        <w:keepNext/>
      </w:pPr>
      <w:r>
        <w:t>4.1 指標定義：目標覆蓋率</w:t>
      </w:r>
    </w:p>
    <w:p>
      <w:pPr>
        <w:widowControl/>
      </w:pPr>
      <w:r>
        <w:rPr>
          <w:rFonts w:ascii="Microsoft JhengHei" w:hAnsi="Microsoft JhengHei" w:eastAsia="Microsoft JhengHei"/>
          <w:b/>
          <w:color w:val="263746"/>
          <w:sz w:val="18"/>
        </w:rPr>
        <w:t>目標覆蓋率＝有對應評量的目標 ÷ 全部目標 × 100%。本式衡量核定版本中，已逐一連結至少一項有效評量方法及工具的學習目標占全部核定學習目標的比例；同一目標僅計一次。</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3024"/>
        <w:gridCol w:w="6984"/>
      </w:tblGrid>
      <w:tr>
        <w:trPr>
          <w:tblHeader w:val="true"/>
          <w:cantSplit/>
          <w:cantSplit/>
        </w:trPr>
        <w:tc>
          <w:tcPr>
            <w:tcW w:type="dxa" w:w="302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計算欄位</w:t>
            </w:r>
          </w:p>
        </w:tc>
        <w:tc>
          <w:tcPr>
            <w:tcW w:type="dxa" w:w="698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定義與覆核要求</w:t>
            </w:r>
          </w:p>
        </w:tc>
      </w:tr>
      <w:tr>
        <w:trPr>
          <w:cantSplit/>
          <w:cantSplit/>
        </w:trPr>
        <w:tc>
          <w:tcPr>
            <w:tcW w:type="dxa" w:w="302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分子：有對應評量的目標</w:t>
            </w:r>
          </w:p>
        </w:tc>
        <w:tc>
          <w:tcPr>
            <w:tcW w:type="dxa" w:w="69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逐一核對目標代碼；至少有已指定方法、工具／題項及判定方式，才計入。</w:t>
            </w:r>
          </w:p>
        </w:tc>
      </w:tr>
      <w:tr>
        <w:trPr>
          <w:cantSplit/>
          <w:cantSplit/>
        </w:trPr>
        <w:tc>
          <w:tcPr>
            <w:tcW w:type="dxa" w:w="302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分母：全部目標</w:t>
            </w:r>
          </w:p>
        </w:tc>
        <w:tc>
          <w:tcPr>
            <w:tcW w:type="dxa" w:w="69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同一課程、同一核定版本內的目標總數；排除／變更須有決議軌跡。</w:t>
            </w:r>
          </w:p>
        </w:tc>
      </w:tr>
      <w:tr>
        <w:trPr>
          <w:cantSplit/>
          <w:cantSplit/>
        </w:trPr>
        <w:tc>
          <w:tcPr>
            <w:tcW w:type="dxa" w:w="302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公式結果與狀態</w:t>
            </w:r>
          </w:p>
        </w:tc>
        <w:tc>
          <w:tcPr>
            <w:tcW w:type="dxa" w:w="69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分子 ÷ 分母 × 100%；分母為零或目標清單未核定時記 不適用／無法計算，不填 0%。</w:t>
            </w:r>
          </w:p>
        </w:tc>
      </w:tr>
      <w:tr>
        <w:trPr>
          <w:cantSplit/>
          <w:cantSplit/>
        </w:trPr>
        <w:tc>
          <w:tcPr>
            <w:tcW w:type="dxa" w:w="302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來源、日期與獨立覆核</w:t>
            </w:r>
          </w:p>
        </w:tc>
        <w:tc>
          <w:tcPr>
            <w:tcW w:type="dxa" w:w="69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附核定目標清冊與評量矩陣位置；記計算職務、日期、覆算及差異。</w:t>
            </w:r>
          </w:p>
        </w:tc>
      </w:tr>
    </w:tbl>
    <w:p>
      <w:r>
        <w:br w:type="page"/>
      </w:r>
    </w:p>
    <w:p>
      <w:pPr>
        <w:pStyle w:val="Heading1"/>
        <w:keepNext/>
      </w:pPr>
      <w:r>
        <w:t>5 利害關係人審查、會議索引與變更控制</w:t>
      </w:r>
    </w:p>
    <w:p>
      <w:pPr>
        <w:widowControl/>
      </w:pPr>
      <w:r>
        <w:rPr>
          <w:rFonts w:ascii="Microsoft JhengHei" w:hAnsi="Microsoft JhengHei" w:eastAsia="Microsoft JhengHei"/>
          <w:b w:val="0"/>
          <w:color w:val="263746"/>
          <w:sz w:val="17"/>
        </w:rPr>
        <w:t>設計審查應收集與課程有關的實際角色意見，處理學員需求、安全、資源、可評量性、資料保護及利害衝突。各列均為待填控制欄；不得以本範本生成或追認曾經開會、出席或決議。</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2045"/>
        <w:gridCol w:w="3528"/>
        <w:gridCol w:w="2275"/>
        <w:gridCol w:w="2160"/>
      </w:tblGrid>
      <w:tr>
        <w:trPr>
          <w:tblHeader w:val="true"/>
          <w:cantSplit/>
          <w:cantSplit/>
        </w:trPr>
        <w:tc>
          <w:tcPr>
            <w:tcW w:type="dxa" w:w="2045"/>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審查角色／群體</w:t>
            </w:r>
          </w:p>
        </w:tc>
        <w:tc>
          <w:tcPr>
            <w:tcW w:type="dxa" w:w="3528"/>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核對事項</w:t>
            </w:r>
          </w:p>
        </w:tc>
        <w:tc>
          <w:tcPr>
            <w:tcW w:type="dxa" w:w="2275"/>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意見／處理結果</w:t>
            </w:r>
          </w:p>
        </w:tc>
        <w:tc>
          <w:tcPr>
            <w:tcW w:type="dxa" w:w="216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決議證據位置</w:t>
            </w:r>
          </w:p>
        </w:tc>
      </w:tr>
      <w:tr>
        <w:trPr>
          <w:cantSplit/>
          <w:cantSplit/>
        </w:trPr>
        <w:tc>
          <w:tcPr>
            <w:tcW w:type="dxa" w:w="204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〔真實角色待核〕</w:t>
            </w:r>
          </w:p>
        </w:tc>
        <w:tc>
          <w:tcPr>
            <w:tcW w:type="dxa" w:w="35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需求及目標是否適切、可達成及可測量</w:t>
            </w:r>
          </w:p>
        </w:tc>
        <w:tc>
          <w:tcPr>
            <w:tcW w:type="dxa" w:w="227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c>
          <w:tcPr>
            <w:tcW w:type="dxa" w:w="216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〔會議紀錄／附件待定位〕</w:t>
            </w:r>
          </w:p>
        </w:tc>
      </w:tr>
      <w:tr>
        <w:trPr>
          <w:cantSplit/>
          <w:cantSplit/>
        </w:trPr>
        <w:tc>
          <w:tcPr>
            <w:tcW w:type="dxa" w:w="204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〔真實角色待核〕</w:t>
            </w:r>
          </w:p>
        </w:tc>
        <w:tc>
          <w:tcPr>
            <w:tcW w:type="dxa" w:w="35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教材、資源、師資、場地與安全控制是否具備</w:t>
            </w:r>
          </w:p>
        </w:tc>
        <w:tc>
          <w:tcPr>
            <w:tcW w:type="dxa" w:w="227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c>
          <w:tcPr>
            <w:tcW w:type="dxa" w:w="216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〔審查原件待定位〕</w:t>
            </w:r>
          </w:p>
        </w:tc>
      </w:tr>
      <w:tr>
        <w:trPr>
          <w:cantSplit/>
          <w:cantSplit/>
        </w:trPr>
        <w:tc>
          <w:tcPr>
            <w:tcW w:type="dxa" w:w="204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〔真實角色待核〕</w:t>
            </w:r>
          </w:p>
        </w:tc>
        <w:tc>
          <w:tcPr>
            <w:tcW w:type="dxa" w:w="352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評量公平、資料用途、隱私及偏差風險</w:t>
            </w:r>
          </w:p>
        </w:tc>
        <w:tc>
          <w:tcPr>
            <w:tcW w:type="dxa" w:w="227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c>
          <w:tcPr>
            <w:tcW w:type="dxa" w:w="216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〔覆核紀錄待定位〕</w:t>
            </w:r>
          </w:p>
        </w:tc>
      </w:tr>
    </w:tbl>
    <w:p>
      <w:pPr>
        <w:pStyle w:val="Heading2"/>
        <w:keepNext/>
      </w:pPr>
      <w:r>
        <w:t>5.1 課程規劃會議決議索引（不代替會議原件）</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2088"/>
        <w:gridCol w:w="2376"/>
        <w:gridCol w:w="3384"/>
        <w:gridCol w:w="2160"/>
      </w:tblGrid>
      <w:tr>
        <w:trPr>
          <w:tblHeader w:val="true"/>
          <w:cantSplit/>
          <w:cantSplit/>
        </w:trPr>
        <w:tc>
          <w:tcPr>
            <w:tcW w:type="dxa" w:w="2088"/>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會議代碼／日期</w:t>
            </w:r>
          </w:p>
        </w:tc>
        <w:tc>
          <w:tcPr>
            <w:tcW w:type="dxa" w:w="237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實際與會及權責</w:t>
            </w:r>
          </w:p>
        </w:tc>
        <w:tc>
          <w:tcPr>
            <w:tcW w:type="dxa" w:w="338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議程／目標／方法決定</w:t>
            </w:r>
          </w:p>
        </w:tc>
        <w:tc>
          <w:tcPr>
            <w:tcW w:type="dxa" w:w="2160"/>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附件及原件位置</w:t>
            </w:r>
          </w:p>
        </w:tc>
      </w:tr>
      <w:tr>
        <w:trPr>
          <w:cantSplit/>
          <w:cantSplit/>
        </w:trPr>
        <w:tc>
          <w:tcPr>
            <w:tcW w:type="dxa" w:w="2088"/>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c>
          <w:tcPr>
            <w:tcW w:type="dxa" w:w="237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c>
          <w:tcPr>
            <w:tcW w:type="dxa" w:w="33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逐項記接受／退回、理由、條件與責任</w:t>
            </w:r>
          </w:p>
        </w:tc>
        <w:tc>
          <w:tcPr>
            <w:tcW w:type="dxa" w:w="2160"/>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r>
    </w:tbl>
    <w:p>
      <w:pPr>
        <w:widowControl/>
      </w:pPr>
      <w:r>
        <w:rPr>
          <w:rFonts w:ascii="Microsoft JhengHei" w:hAnsi="Microsoft JhengHei" w:eastAsia="Microsoft JhengHei"/>
          <w:b w:val="0"/>
          <w:color w:val="263746"/>
          <w:sz w:val="15"/>
        </w:rPr>
        <w:t>配套交付文件 01 為課程規劃與設計審查會議紀錄。兩份文件應以同一課程識別與有效版本互相索引；本表只定義方法、指標及決議定位欄，不宣稱文件 01 已具實際會議內容。</w:t>
      </w:r>
    </w:p>
    <w:p>
      <w:pPr>
        <w:pStyle w:val="Heading2"/>
        <w:keepNext/>
      </w:pPr>
      <w:r>
        <w:t>5.2 風險與變更</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2995"/>
        <w:gridCol w:w="4104"/>
        <w:gridCol w:w="2909"/>
      </w:tblGrid>
      <w:tr>
        <w:trPr>
          <w:tblHeader w:val="true"/>
          <w:cantSplit/>
          <w:cantSplit/>
        </w:trPr>
        <w:tc>
          <w:tcPr>
            <w:tcW w:type="dxa" w:w="2995"/>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風險／變更觸發</w:t>
            </w:r>
          </w:p>
        </w:tc>
        <w:tc>
          <w:tcPr>
            <w:tcW w:type="dxa" w:w="410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評估與處置</w:t>
            </w:r>
          </w:p>
        </w:tc>
        <w:tc>
          <w:tcPr>
            <w:tcW w:type="dxa" w:w="2909"/>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核准及留痕</w:t>
            </w:r>
          </w:p>
        </w:tc>
      </w:tr>
      <w:tr>
        <w:trPr>
          <w:cantSplit/>
          <w:cantSplit/>
        </w:trPr>
        <w:tc>
          <w:tcPr>
            <w:tcW w:type="dxa" w:w="299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需求、對象或目標變動</w:t>
            </w:r>
          </w:p>
        </w:tc>
        <w:tc>
          <w:tcPr>
            <w:tcW w:type="dxa" w:w="410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重核差距、目標映射、時程與覆蓋率分母</w:t>
            </w:r>
          </w:p>
        </w:tc>
        <w:tc>
          <w:tcPr>
            <w:tcW w:type="dxa" w:w="290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授權者核定新版本及生效條件</w:t>
            </w:r>
          </w:p>
        </w:tc>
      </w:tr>
      <w:tr>
        <w:trPr>
          <w:cantSplit/>
          <w:cantSplit/>
        </w:trPr>
        <w:tc>
          <w:tcPr>
            <w:tcW w:type="dxa" w:w="299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方法、工具或評分規準變更</w:t>
            </w:r>
          </w:p>
        </w:tc>
        <w:tc>
          <w:tcPr>
            <w:tcW w:type="dxa" w:w="410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檢視有效性、可比性、受影響結果及重算需要</w:t>
            </w:r>
          </w:p>
        </w:tc>
        <w:tc>
          <w:tcPr>
            <w:tcW w:type="dxa" w:w="290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保存舊新版、理由、覆核與公告</w:t>
            </w:r>
          </w:p>
        </w:tc>
      </w:tr>
      <w:tr>
        <w:trPr>
          <w:cantSplit/>
          <w:cantSplit/>
        </w:trPr>
        <w:tc>
          <w:tcPr>
            <w:tcW w:type="dxa" w:w="299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資源、安全或個資風險變動</w:t>
            </w:r>
          </w:p>
        </w:tc>
        <w:tc>
          <w:tcPr>
            <w:tcW w:type="dxa" w:w="410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暫停受影響項目，依規範重新評估</w:t>
            </w:r>
          </w:p>
        </w:tc>
        <w:tc>
          <w:tcPr>
            <w:tcW w:type="dxa" w:w="290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記風險處置、決策權依據及通知</w:t>
            </w:r>
          </w:p>
        </w:tc>
      </w:tr>
    </w:tbl>
    <w:p>
      <w:r>
        <w:br w:type="page"/>
      </w:r>
    </w:p>
    <w:p>
      <w:pPr>
        <w:pStyle w:val="Heading1"/>
        <w:keepNext/>
      </w:pPr>
      <w:r>
        <w:t>6 指標8：課程規劃與評估 專屬要求追溯及可查佐證</w:t>
      </w:r>
    </w:p>
    <w:tbl>
      <w:tblPr>
        <w:tblW w:type="dxa" w:w="9936"/>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3399"/>
        <w:gridCol w:w="3399"/>
        <w:gridCol w:w="3137"/>
      </w:tblGrid>
      <w:tr>
        <w:trPr>
          <w:tblHeader w:val="true"/>
          <w:cantSplit/>
          <w:cantSplit/>
        </w:trPr>
        <w:tc>
          <w:tcPr>
            <w:tcW w:type="dxa" w:w="3399"/>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2"/>
              </w:rPr>
              <w:t>要求</w:t>
            </w:r>
          </w:p>
        </w:tc>
        <w:tc>
          <w:tcPr>
            <w:tcW w:type="dxa" w:w="3399"/>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2"/>
              </w:rPr>
              <w:t>資料來源</w:t>
            </w:r>
          </w:p>
        </w:tc>
        <w:tc>
          <w:tcPr>
            <w:tcW w:type="dxa" w:w="3137"/>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2"/>
              </w:rPr>
              <w:t>欄位／指標</w:t>
            </w:r>
          </w:p>
        </w:tc>
      </w:tr>
      <w:tr>
        <w:trPr>
          <w:cantSplit/>
          <w:cantSplit/>
        </w:trPr>
        <w:tc>
          <w:tcPr>
            <w:tcW w:type="dxa" w:w="33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課程規劃會議紀錄展現課程設計流程</w:t>
            </w:r>
          </w:p>
        </w:tc>
        <w:tc>
          <w:tcPr>
            <w:tcW w:type="dxa" w:w="33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官方查核佐證表 p.3；本需求會議決議原件（待取得）</w:t>
            </w:r>
          </w:p>
        </w:tc>
        <w:tc>
          <w:tcPr>
            <w:tcW w:type="dxa" w:w="3137"/>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需求→差距→目標→單元→教法→評量之版本映射</w:t>
            </w:r>
          </w:p>
        </w:tc>
      </w:tr>
      <w:tr>
        <w:trPr>
          <w:cantSplit/>
          <w:cantSplit/>
        </w:trPr>
        <w:tc>
          <w:tcPr>
            <w:tcW w:type="dxa" w:w="33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擬定訓練評估方法並作為成效評估依據</w:t>
            </w:r>
          </w:p>
        </w:tc>
        <w:tc>
          <w:tcPr>
            <w:tcW w:type="dxa" w:w="33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核定課程方案、有效工具及原始資料（待取得）</w:t>
            </w:r>
          </w:p>
        </w:tc>
        <w:tc>
          <w:tcPr>
            <w:tcW w:type="dxa" w:w="3137"/>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目標代碼、方法／工具、時點、判準、目標覆蓋率</w:t>
            </w:r>
          </w:p>
        </w:tc>
      </w:tr>
      <w:tr>
        <w:trPr>
          <w:cantSplit/>
          <w:cantSplit/>
        </w:trPr>
        <w:tc>
          <w:tcPr>
            <w:tcW w:type="dxa" w:w="33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且有佐證資料可查</w:t>
            </w:r>
          </w:p>
        </w:tc>
        <w:tc>
          <w:tcPr>
            <w:tcW w:type="dxa" w:w="339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依有效核定版及原始訓練紀錄（待取得）</w:t>
            </w:r>
          </w:p>
        </w:tc>
        <w:tc>
          <w:tcPr>
            <w:tcW w:type="dxa" w:w="3137"/>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資料版本、原件索引、結果與限制</w:t>
            </w:r>
          </w:p>
        </w:tc>
      </w:tr>
    </w:tbl>
    <w:p>
      <w:pPr>
        <w:pStyle w:val="Caption"/>
      </w:pPr>
      <w:r>
        <w:rPr>
          <w:sz w:val="18"/>
        </w:rPr>
        <w:t>續表｜下表接續列示同一筆資料的其餘欄位，請依相同項目核對。</w:t>
      </w:r>
    </w:p>
    <w:tbl>
      <w:tblPr>
        <w:tblW w:type="dxa" w:w="9936"/>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2935"/>
        <w:gridCol w:w="2709"/>
        <w:gridCol w:w="2484"/>
        <w:gridCol w:w="1806"/>
      </w:tblGrid>
      <w:tr>
        <w:trPr>
          <w:tblHeader w:val="true"/>
          <w:cantSplit/>
          <w:cantSplit/>
        </w:trPr>
        <w:tc>
          <w:tcPr>
            <w:tcW w:type="dxa" w:w="2935"/>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2"/>
              </w:rPr>
              <w:t>要求</w:t>
            </w:r>
          </w:p>
        </w:tc>
        <w:tc>
          <w:tcPr>
            <w:tcW w:type="dxa" w:w="2709"/>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2"/>
              </w:rPr>
              <w:t>結果</w:t>
            </w:r>
          </w:p>
        </w:tc>
        <w:tc>
          <w:tcPr>
            <w:tcW w:type="dxa" w:w="248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2"/>
              </w:rPr>
              <w:t>證據位置</w:t>
            </w:r>
          </w:p>
        </w:tc>
        <w:tc>
          <w:tcPr>
            <w:tcW w:type="dxa" w:w="180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2"/>
              </w:rPr>
              <w:t>覆核</w:t>
            </w:r>
          </w:p>
        </w:tc>
      </w:tr>
      <w:tr>
        <w:trPr>
          <w:cantSplit/>
          <w:cantSplit/>
        </w:trPr>
        <w:tc>
          <w:tcPr>
            <w:tcW w:type="dxa" w:w="293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課程規劃會議紀錄展現課程設計流程</w:t>
            </w:r>
          </w:p>
        </w:tc>
        <w:tc>
          <w:tcPr>
            <w:tcW w:type="dxa" w:w="270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本表提供設計欄；實際流程與決議 尚待補入正式原始資料</w:t>
            </w:r>
          </w:p>
        </w:tc>
        <w:tc>
          <w:tcPr>
            <w:tcW w:type="dxa" w:w="24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配套文件01及逐案附件索引；路徑待核</w:t>
            </w:r>
          </w:p>
        </w:tc>
        <w:tc>
          <w:tcPr>
            <w:tcW w:type="dxa" w:w="180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核對原始會議紀錄、權責及方案版本</w:t>
            </w:r>
          </w:p>
        </w:tc>
      </w:tr>
      <w:tr>
        <w:trPr>
          <w:cantSplit/>
          <w:cantSplit/>
        </w:trPr>
        <w:tc>
          <w:tcPr>
            <w:tcW w:type="dxa" w:w="293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擬定訓練評估方法並作為成效評估依據</w:t>
            </w:r>
          </w:p>
        </w:tc>
        <w:tc>
          <w:tcPr>
            <w:tcW w:type="dxa" w:w="270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公式已定義；本會目標、方法及數據 尚待補入正式原始資料</w:t>
            </w:r>
          </w:p>
        </w:tc>
        <w:tc>
          <w:tcPr>
            <w:tcW w:type="dxa" w:w="24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核定目標清冊、評量矩陣與覆算附件位置待填</w:t>
            </w:r>
          </w:p>
        </w:tc>
        <w:tc>
          <w:tcPr>
            <w:tcW w:type="dxa" w:w="180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獨立覆核目標逐項映射、分子分母及公式</w:t>
            </w:r>
          </w:p>
        </w:tc>
      </w:tr>
      <w:tr>
        <w:trPr>
          <w:cantSplit/>
          <w:cantSplit/>
        </w:trPr>
        <w:tc>
          <w:tcPr>
            <w:tcW w:type="dxa" w:w="2935"/>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且有佐證資料可查</w:t>
            </w:r>
          </w:p>
        </w:tc>
        <w:tc>
          <w:tcPr>
            <w:tcW w:type="dxa" w:w="2709"/>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本表不是實際執行或成效原件</w:t>
            </w:r>
          </w:p>
        </w:tc>
        <w:tc>
          <w:tcPr>
            <w:tcW w:type="dxa" w:w="24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文件代碼／版本／資料夾路徑待協會確認</w:t>
            </w:r>
          </w:p>
        </w:tc>
        <w:tc>
          <w:tcPr>
            <w:tcW w:type="dxa" w:w="180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3"/>
              </w:rPr>
              <w:t>以原件清單逐項核對並記覆核者與日期</w:t>
            </w:r>
          </w:p>
        </w:tc>
      </w:tr>
    </w:tbl>
    <w:p>
      <w:pPr>
        <w:pStyle w:val="Heading2"/>
        <w:keepNext/>
      </w:pPr>
      <w:r>
        <w:t>6.1 可調閱原件與本次資料缺口</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3384"/>
        <w:gridCol w:w="5112"/>
        <w:gridCol w:w="1512"/>
      </w:tblGrid>
      <w:tr>
        <w:trPr>
          <w:tblHeader w:val="true"/>
          <w:cantSplit/>
          <w:cantSplit/>
        </w:trPr>
        <w:tc>
          <w:tcPr>
            <w:tcW w:type="dxa" w:w="338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待取得原件</w:t>
            </w:r>
          </w:p>
        </w:tc>
        <w:tc>
          <w:tcPr>
            <w:tcW w:type="dxa" w:w="511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核實用途</w:t>
            </w:r>
          </w:p>
        </w:tc>
        <w:tc>
          <w:tcPr>
            <w:tcW w:type="dxa" w:w="151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目前狀態</w:t>
            </w:r>
          </w:p>
        </w:tc>
      </w:tr>
      <w:tr>
        <w:trPr>
          <w:cantSplit/>
          <w:cantSplit/>
        </w:trPr>
        <w:tc>
          <w:tcPr>
            <w:tcW w:type="dxa" w:w="33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需求來源與職能差距材料</w:t>
            </w:r>
          </w:p>
        </w:tc>
        <w:tc>
          <w:tcPr>
            <w:tcW w:type="dxa" w:w="51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確認對象、待發展能力及目標依據</w:t>
            </w:r>
          </w:p>
        </w:tc>
        <w:tc>
          <w:tcPr>
            <w:tcW w:type="dxa" w:w="15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r>
      <w:tr>
        <w:trPr>
          <w:cantSplit/>
          <w:cantSplit/>
        </w:trPr>
        <w:tc>
          <w:tcPr>
            <w:tcW w:type="dxa" w:w="33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課程版本及會議決議</w:t>
            </w:r>
          </w:p>
        </w:tc>
        <w:tc>
          <w:tcPr>
            <w:tcW w:type="dxa" w:w="51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確認單元、教法、資源、評量決策與授權</w:t>
            </w:r>
          </w:p>
        </w:tc>
        <w:tc>
          <w:tcPr>
            <w:tcW w:type="dxa" w:w="15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r>
      <w:tr>
        <w:trPr>
          <w:cantSplit/>
          <w:cantSplit/>
        </w:trPr>
        <w:tc>
          <w:tcPr>
            <w:tcW w:type="dxa" w:w="33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核准評量工具、目標清冊及原始結果</w:t>
            </w:r>
          </w:p>
        </w:tc>
        <w:tc>
          <w:tcPr>
            <w:tcW w:type="dxa" w:w="51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確認工具有效版本、目標覆蓋率、計算與判讀</w:t>
            </w:r>
          </w:p>
        </w:tc>
        <w:tc>
          <w:tcPr>
            <w:tcW w:type="dxa" w:w="151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r>
    </w:tbl>
    <w:p>
      <w:pPr>
        <w:widowControl/>
      </w:pPr>
      <w:r>
        <w:rPr>
          <w:rFonts w:ascii="Microsoft JhengHei" w:hAnsi="Microsoft JhengHei" w:eastAsia="Microsoft JhengHei"/>
          <w:b w:val="0"/>
          <w:color w:val="263746"/>
          <w:sz w:val="17"/>
        </w:rPr>
        <w:t>上述欄位描述預期證據類型與索引方法，不表示本會已持有、核定或執行相關材料。</w:t>
      </w:r>
    </w:p>
    <w:p>
      <w:r>
        <w:br w:type="page"/>
      </w:r>
    </w:p>
    <w:p>
      <w:pPr>
        <w:pStyle w:val="Heading1"/>
        <w:keepNext/>
      </w:pPr>
      <w:r>
        <w:t>7 文件核定、保存、補入真實資料與必答問題</w:t>
      </w:r>
    </w:p>
    <w:p>
      <w:pPr>
        <w:pStyle w:val="Heading2"/>
        <w:keepNext/>
      </w:pPr>
      <w:r>
        <w:t>7.1 版本、核定及保存</w:t>
      </w:r>
    </w:p>
    <w:p>
      <w:pPr>
        <w:widowControl/>
      </w:pPr>
      <w:r>
        <w:rPr>
          <w:rFonts w:ascii="Microsoft JhengHei" w:hAnsi="Microsoft JhengHei" w:eastAsia="Microsoft JhengHei"/>
          <w:b w:val="0"/>
          <w:color w:val="263746"/>
          <w:sz w:val="17"/>
        </w:rPr>
        <w:t>建立或修訂本表時須記文件代碼、課程識別、版本、來源、變更原因與受影響目標。審查者核對需求至評量的映射、計算口徑、安全與隱私控制。授權者核准適用範圍、生效版及條件後，才可公告或作為成效評估依據；保存核准原件、公告對象與日期、舊版回收、存取權限及正式路徑。</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2376"/>
        <w:gridCol w:w="7632"/>
      </w:tblGrid>
      <w:tr>
        <w:trPr>
          <w:tblHeader w:val="true"/>
          <w:cantSplit/>
          <w:cantSplit/>
        </w:trPr>
        <w:tc>
          <w:tcPr>
            <w:tcW w:type="dxa" w:w="237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控制記錄</w:t>
            </w:r>
          </w:p>
        </w:tc>
        <w:tc>
          <w:tcPr>
            <w:tcW w:type="dxa" w:w="763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4"/>
              </w:rPr>
              <w:t>至少留存欄位</w:t>
            </w:r>
          </w:p>
        </w:tc>
      </w:tr>
      <w:tr>
        <w:trPr>
          <w:cantSplit/>
          <w:cantSplit/>
        </w:trPr>
        <w:tc>
          <w:tcPr>
            <w:tcW w:type="dxa" w:w="237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版本／核准</w:t>
            </w:r>
          </w:p>
        </w:tc>
        <w:tc>
          <w:tcPr>
            <w:tcW w:type="dxa" w:w="763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課程識別｜文件代碼｜版本｜變更原因｜覆核差異｜有效範圍｜核准原件</w:t>
            </w:r>
          </w:p>
        </w:tc>
      </w:tr>
      <w:tr>
        <w:trPr>
          <w:cantSplit/>
          <w:cantSplit/>
        </w:trPr>
        <w:tc>
          <w:tcPr>
            <w:tcW w:type="dxa" w:w="237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公告／保存</w:t>
            </w:r>
          </w:p>
        </w:tc>
        <w:tc>
          <w:tcPr>
            <w:tcW w:type="dxa" w:w="763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生效日期｜適用對象｜公告證據｜舊版回收｜權限｜期限｜備份／調閱路徑</w:t>
            </w:r>
          </w:p>
        </w:tc>
      </w:tr>
      <w:tr>
        <w:trPr>
          <w:cantSplit/>
          <w:cantSplit/>
        </w:trPr>
        <w:tc>
          <w:tcPr>
            <w:tcW w:type="dxa" w:w="237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目標覆蓋率覆算</w:t>
            </w:r>
          </w:p>
        </w:tc>
        <w:tc>
          <w:tcPr>
            <w:tcW w:type="dxa" w:w="763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5"/>
              </w:rPr>
              <w:t>核定目標清冊｜映射表｜分子／分母｜公式｜限制｜計算與獨立覆核職務／日期</w:t>
            </w:r>
          </w:p>
        </w:tc>
      </w:tr>
    </w:tbl>
    <w:p>
      <w:pPr>
        <w:pStyle w:val="Heading2"/>
        <w:keepNext/>
      </w:pPr>
      <w:r>
        <w:t>7.2 補入真實資料前替換與核實清單</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2131"/>
        <w:gridCol w:w="6293"/>
        <w:gridCol w:w="1584"/>
      </w:tblGrid>
      <w:tr>
        <w:trPr>
          <w:tblHeader w:val="true"/>
          <w:cantSplit/>
          <w:cantSplit/>
        </w:trPr>
        <w:tc>
          <w:tcPr>
            <w:tcW w:type="dxa" w:w="2131"/>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替換／核實項</w:t>
            </w:r>
          </w:p>
        </w:tc>
        <w:tc>
          <w:tcPr>
            <w:tcW w:type="dxa" w:w="6293"/>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必須取得的真實依據</w:t>
            </w:r>
          </w:p>
        </w:tc>
        <w:tc>
          <w:tcPr>
            <w:tcW w:type="dxa" w:w="1584"/>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狀態</w:t>
            </w:r>
          </w:p>
        </w:tc>
      </w:tr>
      <w:tr>
        <w:trPr>
          <w:cantSplit/>
          <w:cantSplit/>
        </w:trPr>
        <w:tc>
          <w:tcPr>
            <w:tcW w:type="dxa" w:w="2131"/>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課程需求與目標</w:t>
            </w:r>
          </w:p>
        </w:tc>
        <w:tc>
          <w:tcPr>
            <w:tcW w:type="dxa" w:w="629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可追溯需求來源、對象、差距分析及核定目標清冊</w:t>
            </w:r>
          </w:p>
        </w:tc>
        <w:tc>
          <w:tcPr>
            <w:tcW w:type="dxa" w:w="15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r>
      <w:tr>
        <w:trPr>
          <w:cantSplit/>
          <w:cantSplit/>
        </w:trPr>
        <w:tc>
          <w:tcPr>
            <w:tcW w:type="dxa" w:w="2131"/>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課程與評量配置</w:t>
            </w:r>
          </w:p>
        </w:tc>
        <w:tc>
          <w:tcPr>
            <w:tcW w:type="dxa" w:w="629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核定單元、教法、師資／學員條件、資源及有效評量工具</w:t>
            </w:r>
          </w:p>
        </w:tc>
        <w:tc>
          <w:tcPr>
            <w:tcW w:type="dxa" w:w="15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r>
      <w:tr>
        <w:trPr>
          <w:cantSplit/>
          <w:cantSplit/>
        </w:trPr>
        <w:tc>
          <w:tcPr>
            <w:tcW w:type="dxa" w:w="2131"/>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會議與權責</w:t>
            </w:r>
          </w:p>
        </w:tc>
        <w:tc>
          <w:tcPr>
            <w:tcW w:type="dxa" w:w="629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真實會議原件、出席／決議、核准權及版本生效資料</w:t>
            </w:r>
          </w:p>
        </w:tc>
        <w:tc>
          <w:tcPr>
            <w:tcW w:type="dxa" w:w="15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r>
      <w:tr>
        <w:trPr>
          <w:cantSplit/>
          <w:cantSplit/>
        </w:trPr>
        <w:tc>
          <w:tcPr>
            <w:tcW w:type="dxa" w:w="2131"/>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計算與成效</w:t>
            </w:r>
          </w:p>
        </w:tc>
        <w:tc>
          <w:tcPr>
            <w:tcW w:type="dxa" w:w="6293"/>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原始資料、分子分母、目標覆蓋率、限制及獨立覆算</w:t>
            </w:r>
          </w:p>
        </w:tc>
        <w:tc>
          <w:tcPr>
            <w:tcW w:type="dxa" w:w="1584"/>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尚待補入正式原始資料</w:t>
            </w:r>
          </w:p>
        </w:tc>
      </w:tr>
    </w:tbl>
    <w:p>
      <w:pPr>
        <w:pStyle w:val="Heading2"/>
        <w:keepNext/>
      </w:pPr>
      <w:r>
        <w:t>7.3 規劃要求 必答問題</w:t>
      </w:r>
    </w:p>
    <w:tbl>
      <w:tblPr>
        <w:tblW w:type="dxa" w:w="10008"/>
        <w:jc w:val="left"/>
        <w:tblLayout w:type="fixed"/>
        <w:tblLook w:firstColumn="1" w:firstRow="1" w:lastColumn="0" w:lastRow="0" w:noHBand="0" w:noVBand="1" w:val="04A0"/>
        <w:tblInd w:w="0" w:type="dxa"/>
        <w:tblBorders>
          <w:top w:val="single" w:sz="4" w:color="B8C5CF"/>
          <w:left w:val="single" w:sz="4" w:color="B8C5CF"/>
          <w:bottom w:val="single" w:sz="4" w:color="B8C5CF"/>
          <w:right w:val="single" w:sz="4" w:color="B8C5CF"/>
          <w:insideH w:val="single" w:sz="4" w:color="B8C5CF"/>
          <w:insideV w:val="single" w:sz="4" w:color="B8C5CF"/>
        </w:tblBorders>
      </w:tblPr>
      <w:tblGrid>
        <w:gridCol w:w="3672"/>
        <w:gridCol w:w="6336"/>
      </w:tblGrid>
      <w:tr>
        <w:trPr>
          <w:tblHeader w:val="true"/>
          <w:cantSplit/>
          <w:cantSplit/>
        </w:trPr>
        <w:tc>
          <w:tcPr>
            <w:tcW w:type="dxa" w:w="3672"/>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必要問題</w:t>
            </w:r>
          </w:p>
        </w:tc>
        <w:tc>
          <w:tcPr>
            <w:tcW w:type="dxa" w:w="6336"/>
            <w:vAlign w:val="center"/>
            <w:shd w:fill="284B63"/>
            <w:tcMar>
              <w:top w:w="55" w:type="dxa"/>
              <w:start w:w="65" w:type="dxa"/>
              <w:bottom w:w="55" w:type="dxa"/>
              <w:end w:w="65" w:type="dxa"/>
            </w:tcMar>
          </w:tcPr>
          <w:p>
            <w:pPr>
              <w:spacing w:after="0" w:line="240" w:lineRule="auto"/>
            </w:pPr>
            <w:r>
              <w:rPr>
                <w:rFonts w:ascii="Microsoft JhengHei" w:hAnsi="Microsoft JhengHei" w:eastAsia="Microsoft JhengHei"/>
                <w:b/>
                <w:color w:val="FFFFFF"/>
                <w:sz w:val="13"/>
              </w:rPr>
              <w:t>本表直接回答／位置</w:t>
            </w:r>
          </w:p>
        </w:tc>
      </w:tr>
      <w:tr>
        <w:trPr>
          <w:cantSplit/>
          <w:cantSplit/>
        </w:trPr>
        <w:tc>
          <w:tcPr>
            <w:tcW w:type="dxa" w:w="36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每一單元如何支撐目標？</w:t>
            </w:r>
          </w:p>
        </w:tc>
        <w:tc>
          <w:tcPr>
            <w:tcW w:type="dxa" w:w="633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第2節追溯矩陣與第3節單元時程表以同一目標代碼相連。</w:t>
            </w:r>
          </w:p>
        </w:tc>
      </w:tr>
      <w:tr>
        <w:trPr>
          <w:cantSplit/>
          <w:cantSplit/>
        </w:trPr>
        <w:tc>
          <w:tcPr>
            <w:tcW w:type="dxa" w:w="36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每一目標由什麼評量驗證？</w:t>
            </w:r>
          </w:p>
        </w:tc>
        <w:tc>
          <w:tcPr>
            <w:tcW w:type="dxa" w:w="633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第4節逐目標列評量方法、工具、時點、判準、證據及限制。</w:t>
            </w:r>
          </w:p>
        </w:tc>
      </w:tr>
      <w:tr>
        <w:trPr>
          <w:cantSplit/>
          <w:cantSplit/>
        </w:trPr>
        <w:tc>
          <w:tcPr>
            <w:tcW w:type="dxa" w:w="36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變更由誰核准？</w:t>
            </w:r>
          </w:p>
        </w:tc>
        <w:tc>
          <w:tcPr>
            <w:tcW w:type="dxa" w:w="633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第5.2節要求依真實授權角色核定，並留新版、理由、覆核及公告原件。</w:t>
            </w:r>
          </w:p>
        </w:tc>
      </w:tr>
      <w:tr>
        <w:trPr>
          <w:cantSplit/>
          <w:cantSplit/>
        </w:trPr>
        <w:tc>
          <w:tcPr>
            <w:tcW w:type="dxa" w:w="3672"/>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本文件中哪一段／哪一表直接證明官方要求？</w:t>
            </w:r>
          </w:p>
        </w:tc>
        <w:tc>
          <w:tcPr>
            <w:tcW w:type="dxa" w:w="6336"/>
            <w:vAlign w:val="center"/>
            <w:tcMar>
              <w:top w:w="55" w:type="dxa"/>
              <w:start w:w="65" w:type="dxa"/>
              <w:bottom w:w="55" w:type="dxa"/>
              <w:end w:w="65" w:type="dxa"/>
            </w:tcMar>
          </w:tcPr>
          <w:p>
            <w:pPr>
              <w:spacing w:after="0" w:line="240" w:lineRule="auto"/>
            </w:pPr>
            <w:r>
              <w:rPr>
                <w:rFonts w:ascii="Microsoft JhengHei" w:hAnsi="Microsoft JhengHei" w:eastAsia="Microsoft JhengHei"/>
                <w:b w:val="0"/>
                <w:color w:val="263746"/>
                <w:sz w:val="14"/>
              </w:rPr>
              <w:t>第1節直接回應；第2、4、6節映射設計流程、評量方法、指標與可查證據。</w:t>
            </w:r>
          </w:p>
        </w:tc>
      </w:tr>
    </w:tbl>
    <w:p>
      <w:pPr>
        <w:widowControl/>
      </w:pPr>
      <w:r>
        <w:rPr>
          <w:rFonts w:ascii="Microsoft JhengHei" w:hAnsi="Microsoft JhengHei" w:eastAsia="Microsoft JhengHei"/>
          <w:b w:val="0"/>
          <w:color w:val="263746"/>
          <w:sz w:val="16"/>
        </w:rPr>
        <w:t>實際課程、會議、職務、核准、評量工具、數據及成果均待原件核實。本表僅可作 合成示範稿 設計範本；任何補入真實資料均須逐欄替換、覆核及依權責核定。</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821" w:right="979" w:bottom="850" w:left="979"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57482"/>
        <w:sz w:val="14"/>
      </w:rPr>
      <w:t xml:space="preserve">0040 工作稿｜評估方法與成效指標工作稿｜頁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color w:val="657482"/>
        <w:sz w:val="14"/>
      </w:rPr>
      <w:t>社團法人屏東縣原始點關懷協會｜指標8：課程規劃與評估｜合成示範稿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pPr>
    <w:rPr>
      <w:rFonts w:ascii="Microsoft JhengHei" w:hAnsi="Microsoft JhengHei" w:eastAsia="Microsoft JhengHei"/>
      <w:color w:val="263746"/>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Microsoft JhengHei" w:hAnsi="Microsoft JhengHei" w:eastAsia="Microsoft JhengHei"/>
      <w:b/>
      <w:bCs/>
      <w:color w:val="284B63"/>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Microsoft JhengHei" w:hAnsi="Microsoft JhengHei" w:eastAsia="Microsoft JhengHei"/>
      <w:b/>
      <w:bCs/>
      <w:color w:val="284B63"/>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指標8：課程規劃與評估</dc:title>
  <dc:subject>可讀性修訂工作稿；真實狀態與原始證據界線依正文標示</dc:subject>
  <dc:creator>python-docx</dc:creator>
  <cp:keywords>QP004; QE003; R03; DRAFT_SYNTHETIC; I08-E03; sequence_id=0040; requirement_id=I08-E03; source_candidate_sha256=848183f86eeb5deca326a2e73fee2c672f320d16499c5bc641829c823a2bc9e1</cp:keywords>
  <dc:description>可讀性修訂：管理版本與製作雜湊詳見工作區回執。</dc:description>
  <cp:lastModifiedBy/>
  <cp:revision>1</cp:revision>
  <dcterms:created xsi:type="dcterms:W3CDTF">2013-12-23T23:15:00Z</dcterms:created>
  <dcterms:modified xsi:type="dcterms:W3CDTF">2013-12-23T23:15:00Z</dcterms:modified>
  <cp:category/>
</cp:coreProperties>
</file>