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異常通報與改善紀錄</w:t>
      </w:r>
    </w:p>
    <w:p>
      <w:r>
        <w:rPr>
          <w:b/>
          <w:sz w:val="24"/>
        </w:rPr>
        <w:t>指標16：異常處理與改善｜單一事件紀錄表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記錄單一異常的原因與改善處理</w:t>
      </w:r>
      <w:r>
        <w:t>；</w:t>
      </w:r>
      <w:r>
        <w:rPr>
          <w:b/>
        </w:rPr>
        <w:t>做法：</w:t>
      </w:r>
      <w:r>
        <w:t>依時間線登錄證據、措施及效果</w:t>
      </w:r>
      <w:r>
        <w:t>；</w:t>
      </w:r>
      <w:r>
        <w:rPr>
          <w:b/>
        </w:rPr>
        <w:t>責任：</w:t>
      </w:r>
      <w:r>
        <w:t>通報、改善及獨立驗證角色待填</w:t>
      </w:r>
      <w:r>
        <w:t>；</w:t>
      </w:r>
      <w:r>
        <w:rPr>
          <w:b/>
        </w:rPr>
        <w:t>證據：</w:t>
      </w:r>
      <w:r>
        <w:t>本表及真實通報、版本、驗證紀錄</w:t>
      </w:r>
      <w:r>
        <w:t>；</w:t>
      </w:r>
      <w:r>
        <w:rPr>
          <w:b/>
        </w:rPr>
        <w:t>現況：</w:t>
      </w:r>
      <w:r>
        <w:t>假設案例，無真實事件</w:t>
      </w:r>
    </w:p>
    <w:p>
      <w:r>
        <w:t>官方要求：「訓練異常處理方法、 紀錄與工具。」</w:t>
      </w:r>
    </w:p>
    <w:p>
      <w:r>
        <w:rPr>
          <w:b/>
        </w:rPr>
        <w:t>文件狀態：合成示範稿；本件不是協會實際事件、核定程序或成效紀錄。</w:t>
      </w:r>
    </w:p>
    <w:p>
      <w:r>
        <w:t>用途：記錄單一異常從發現、風險、圍堵、根因、矯正與預防到效果驗證的閉環。程序規則由 指標16：異常處理與改善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合成示範稿；真實異常與核准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合成示例</w:t>
            </w:r>
          </w:p>
        </w:tc>
      </w:tr>
    </w:tbl>
    <w:p/>
    <w:p>
      <w:pPr>
        <w:pStyle w:val="Heading1"/>
        <w:keepNext/>
      </w:pPr>
      <w:r>
        <w:t>使用界線</w:t>
      </w:r>
    </w:p>
    <w:p>
      <w:r>
        <w:t>以下以教材版本不一致的假設情境示範欄位與算法，不代表協會已開班、發生異常、執行矯正與預防措施或完成效果驗證。未取得的班次、責任人、簽章、原始紀錄及核定一律維持 尚待補入正式原始資料；不得把示例列為實績。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  <w:keepNext/>
      </w:pPr>
      <w:r>
        <w:t>1. 事件識別與直接回應</w:t>
      </w:r>
    </w:p>
    <w:p>
      <w:r>
        <w:t>指標16：異常處理與改善要求的直接證據是具體異常紀錄及可用工具。本件以事件識別欄、風險與圍堵紀錄、八欄矯正與預防措施表、效果計算、追溯表及空白填寫區回應；所有示例結果皆清楚標示為合成資料。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合成示例｜不是協會紀錄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事件編號｜合成案例五｜正式通報編號尚待補入原始資料。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合成案例五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尚待補入正式原始資料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尚待補入正式原始資料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  <w:keepNext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  <w:keepNext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  <w:keepNext/>
      </w:pPr>
      <w:r>
        <w:t>4. 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2026-06-15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pPr>
        <w:sectPr>
          <w:footerReference w:type="default" r:id="rId9"/>
          <w:head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pgSz w:w="11909" w:h="16834"/>
          <w:pgMar w:top="936" w:right="1008" w:bottom="936" w:left="1008" w:header="547" w:footer="547" w:gutter="0"/>
          <w:cols w:space="720"/>
          <w:docGrid w:linePitch="360"/>
        </w:sectPr>
      </w:pPr>
    </w:p>
    <w:p>
      <w:pPr>
        <w:pStyle w:val="Heading1"/>
        <w:keepNext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pStyle w:val="Heading1"/>
        <w:keepNext/>
      </w:pPr>
      <w:r>
        <w:t>6. 事件—嚴重度—根因—矯正—預防—責任—期限—驗證表</w:t>
      </w:r>
    </w:p>
    <w:p>
      <w:r>
        <w:t>下表為指標16：異常處理與改善專屬核心紀錄；八項欄位同列於一張可編輯表格。下列唯一資料列是合成示例，不是協會現況。</w:t>
      </w:r>
    </w:p>
    <w:tbl>
      <w:tblPr>
        <w:tblStyle w:val="TableGrid"/>
        <w:tblW w:type="dxa" w:w="15448"/>
        <w:tblLayout w:type="fixed"/>
        <w:tblLook w:firstColumn="1" w:firstRow="1" w:lastColumn="0" w:lastRow="0" w:noHBand="0" w:noVBand="1" w:val="04A0"/>
      </w:tblPr>
      <w:tblGrid>
        <w:gridCol w:w="3862"/>
        <w:gridCol w:w="3862"/>
        <w:gridCol w:w="3862"/>
        <w:gridCol w:w="3862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448"/>
        <w:tblLayout w:type="fixed"/>
        <w:tblLook w:firstColumn="1" w:firstRow="1" w:lastColumn="0" w:lastRow="0" w:noHBand="0" w:noVBand="1" w:val="04A0"/>
      </w:tblPr>
      <w:tblGrid>
        <w:gridCol w:w="3089"/>
        <w:gridCol w:w="3089"/>
        <w:gridCol w:w="3089"/>
        <w:gridCol w:w="3089"/>
        <w:gridCol w:w="3089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示例於05-16 15:30結案；至06-15 15:30監測30日／720小時。4次版次檢核均無差異；日期（合成）：2026-05-23、2026-06-01、2026-06-08、2026-06-15；再發0件。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547" w:footer="547" w:gutter="0"/>
          <w:cols w:space="720"/>
          <w:docGrid w:linePitch="360"/>
        </w:sectPr>
      </w:pPr>
    </w:p>
    <w:p>
      <w:pPr>
        <w:pStyle w:val="Heading1"/>
        <w:keepNext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尚待補入正式原始資料</w:t>
            </w:r>
          </w:p>
        </w:tc>
      </w:tr>
    </w:tbl>
    <w:p/>
    <w:p>
      <w:pPr>
        <w:pStyle w:val="Heading1"/>
        <w:keepNext/>
      </w:pPr>
      <w:r>
        <w:t>8. 效果驗證與計算口徑</w:t>
      </w:r>
    </w:p>
    <w:p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期間分子／分母 尚待補入正式原始資料；本例個案於示例期限前完成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0/4（合成示例）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尚待補入正式原始資料</w:t>
            </w:r>
          </w:p>
        </w:tc>
      </w:tr>
    </w:tbl>
    <w:p/>
    <w:p>
      <w:r>
        <w:t>示例檢核日期（均為合成）：2026-05-23、2026-06-01、2026-06-08、2026-06-15，分別為結案後第7、16、23、30日。正式檢核以原始紀錄為準。以上只示範算法，不是協會品質數據；正式彙整依核定分類、期間、分母與效果窗口執行。</w:t>
      </w:r>
    </w:p>
    <w:p>
      <w:pPr>
        <w:pStyle w:val="Heading1"/>
        <w:keepNext/>
      </w:pPr>
      <w:r>
        <w:t>9.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  <w:keepNext/>
      </w:pPr>
      <w:r>
        <w:t>10. 指標16：異常處理與改善要求追溯表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尚待補入正式原始資料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尚待補入正式原始資料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核定矯正與預防措施、30日檢核與簽核原件 尚待補入正式原始資料</w:t>
            </w:r>
          </w:p>
        </w:tc>
      </w:tr>
    </w:tbl>
    <w:p/>
    <w:p>
      <w:pPr>
        <w:pStyle w:val="Heading1"/>
        <w:keepNext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事件編號｜合成案例五｜正式通報編號尚待補入原始資料。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審查者、核定者、日期、簽章／正式紀錄：尚待補入正式原始資料</w:t>
            </w:r>
          </w:p>
        </w:tc>
      </w:tr>
    </w:tbl>
    <w:p/>
    <w:p>
      <w:pPr>
        <w:pStyle w:val="Heading1"/>
        <w:keepNext/>
      </w:pPr>
      <w:r>
        <w:t>12. 補入真實資料檢核與替換清單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根因與矯正與預防措施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pPr>
        <w:pStyle w:val="Heading1"/>
        <w:keepNext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尚待補入正式原始資料。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示例監測30日／720小時，4次版次檢核未見差異；不代表實際有效。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哪一段直接證明指標16：異常處理與改善？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第6節同一張八欄矯正與預防措施表連結事件至驗證；第9節映射官方要求；第10節提供空白工具。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  <w:keepNext/>
      </w:pPr>
      <w:r>
        <w:t>閉環示意</w:t>
      </w:r>
    </w:p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矯正與預防措施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合成示範稿｜尚待補入正式原始資料｜指標16：異常處理與改善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指標16：異常處理與改善</dc:title>
  <dc:subject>可讀性修訂工作稿；真實狀態與原始證據界線依正文標示</dc:subject>
  <dc:creator>社團法人屏東縣原始點關懷協會（範本欄位；非實際核定）</dc:creator>
  <cp:keywords>I16-E02; DRAFT_SYNTHETIC; WAITING_FOR_ORIGINAL; sequence_id=0071; requirement_id=I16-E02; source_candidate_sha256=cb6d52dbe5a64225e9693e2bc1476c3f4de8dd8d77729df472ddcf9aec66284d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