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JhengHei" w:hAnsi="Microsoft JhengHei" w:eastAsia="Microsoft JhengHei"/>
          <w:b/>
          <w:color w:val="000000"/>
          <w:sz w:val="48"/>
          <w:u w:val="none"/>
        </w:rPr>
        <w:t>訓後成果追蹤調查表</w:t>
      </w:r>
    </w:p>
    <w:p>
      <w:pPr>
        <w:pStyle w:val="Subtitle"/>
        <w:jc w:val="center"/>
      </w:pPr>
      <w:r>
        <w:rPr>
          <w:rFonts w:ascii="Microsoft JhengHei" w:hAnsi="Microsoft JhengHei" w:eastAsia="Microsoft JhengHei"/>
          <w:color w:val="595959"/>
          <w:sz w:val="20"/>
        </w:rPr>
        <w:t>指標17d：訓後成果追蹤調查表｜合成示例草稿</w:t>
      </w:r>
    </w:p>
    <w:p>
      <w:pPr>
        <w:keepLines/>
        <w:pageBreakBefore w:val="0"/>
        <w:spacing w:before="60" w:after="100"/>
      </w:pPr>
      <w:r>
        <w:rPr>
          <w:b/>
        </w:rPr>
        <w:t>目的：</w:t>
      </w:r>
      <w:r>
        <w:t>記錄訓後學員追蹤調查與結果</w:t>
      </w:r>
      <w:r>
        <w:t>；</w:t>
      </w:r>
      <w:r>
        <w:rPr>
          <w:b/>
        </w:rPr>
        <w:t>做法：</w:t>
      </w:r>
      <w:r>
        <w:t>固定窗口發送同版問卷、檢核回收並計算</w:t>
      </w:r>
      <w:r>
        <w:t>；</w:t>
      </w:r>
      <w:r>
        <w:rPr>
          <w:b/>
        </w:rPr>
        <w:t>責任：</w:t>
      </w:r>
      <w:r>
        <w:t>追蹤承辦及結果覆核者待指定</w:t>
      </w:r>
      <w:r>
        <w:t>；</w:t>
      </w:r>
      <w:r>
        <w:rPr>
          <w:b/>
        </w:rPr>
        <w:t>證據：</w:t>
      </w:r>
      <w:r>
        <w:t>名冊、邀請、回覆、計算及成果佐證</w:t>
      </w:r>
      <w:r>
        <w:t>；</w:t>
      </w:r>
      <w:r>
        <w:rPr>
          <w:b/>
        </w:rPr>
        <w:t>現況：</w:t>
      </w:r>
      <w:r>
        <w:t>工具及模擬演算，無真實班次或回覆</w:t>
      </w:r>
    </w:p>
    <w:p>
      <w:pPr>
        <w:spacing w:after="40" w:line="240" w:lineRule="auto"/>
      </w:pPr>
      <w:r>
        <w:rPr>
          <w:rFonts w:ascii="Microsoft JhengHei" w:hAnsi="Microsoft JhengHei" w:eastAsia="Microsoft JhengHei"/>
          <w:b/>
          <w:color w:val="9C0006"/>
          <w:sz w:val="18"/>
        </w:rPr>
        <w:t>資料狀態：目前未取得可核實的真實班次、學員回覆或訓後成果紀錄。前段為可直接填寫的空白工具；後段均以「模擬演算」標示，不能代表協會實際執行或成果。</w:t>
      </w:r>
    </w:p>
    <w:p>
      <w:pPr>
        <w:spacing w:after="40" w:line="240" w:lineRule="auto"/>
      </w:pPr>
      <w:r>
        <w:rPr>
          <w:rFonts w:ascii="Microsoft JhengHei" w:hAnsi="Microsoft JhengHei" w:eastAsia="Microsoft JhengHei"/>
          <w:b w:val="0"/>
          <w:sz w:val="18"/>
        </w:rPr>
        <w:t>協會名稱及課程方向依使用者提供資料；不代表課程已核定或已辦訓。</w:t>
      </w:r>
    </w:p>
    <w:p>
      <w:pPr>
        <w:spacing w:after="40" w:line="240" w:lineRule="auto"/>
      </w:pPr>
      <w:r>
        <w:rPr>
          <w:rFonts w:ascii="Microsoft JhengHei" w:hAnsi="Microsoft JhengHei" w:eastAsia="Microsoft JhengHei"/>
          <w:b w:val="0"/>
          <w:sz w:val="18"/>
        </w:rPr>
        <w:t>本表只處理訓後調查、回收控制、分母定義、統計計算、結果限制、後續決策及證據定位。問卷自陳可作追蹤線索；沒有原始紀錄核對，不得寫成已證實的工作績效或組織效益。</w:t>
      </w: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/>
          <w:b/>
          <w:color w:val="1F4E79"/>
          <w:sz w:val="30"/>
        </w:rPr>
        <w:t>一 評估目的與官方要求</w:t>
      </w:r>
    </w:p>
    <w:p>
      <w:pPr>
        <w:spacing w:after="40" w:line="240" w:lineRule="auto"/>
      </w:pPr>
      <w:r>
        <w:rPr>
          <w:rFonts w:ascii="Microsoft JhengHei" w:hAnsi="Microsoft JhengHei" w:eastAsia="Microsoft JhengHei"/>
          <w:b w:val="0"/>
          <w:sz w:val="18"/>
        </w:rPr>
        <w:t>本表直接回應官方查核表第 17d 項「訓後調查表。」；用於實際班次結訓後，蒐集學員對能力、工作應用及自評成果變化的追蹤資料，計算回收與分項結果，並留下後續查證和改善位置。</w:t>
      </w:r>
    </w:p>
    <w:p>
      <w:pPr>
        <w:spacing w:after="40" w:line="240" w:lineRule="auto"/>
      </w:pPr>
      <w:r>
        <w:rPr>
          <w:rFonts w:ascii="Microsoft JhengHei" w:hAnsi="Microsoft JhengHei" w:eastAsia="Microsoft JhengHei"/>
          <w:b w:val="0"/>
          <w:sz w:val="18"/>
        </w:rPr>
        <w:t>官方第 6 頁列示的 17d 成果評估例子包括訓後調查、就業或證照追蹤、工作品質變化、主管評估、就業佐證、感謝函及雇主問卷等。本表只承擔「訓後調查表」及其結果口徑，不替代其他要求的需求、訓練執行或外部成果證明。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/>
        </w:trPr>
        <w:tc>
          <w:tcPr>
            <w:tcW w:type="dxa" w:w="34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6"/>
              </w:rPr>
              <w:t>官方要求</w:t>
            </w:r>
          </w:p>
        </w:tc>
        <w:tc>
          <w:tcPr>
            <w:tcW w:type="dxa" w:w="34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6"/>
              </w:rPr>
              <w:t>本表直接回應</w:t>
            </w:r>
          </w:p>
        </w:tc>
        <w:tc>
          <w:tcPr>
            <w:tcW w:type="dxa" w:w="34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6"/>
              </w:rPr>
              <w:t>欄位或證據位置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「訓後調查表。」；第17d成果評估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以實際班次全體可聯繫學員為對象，按固定追蹤窗口使用同版問卷。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第2至5節：對象、期間、問卷、發送回收控制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建立訓後追蹤紀錄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保留邀請、提醒、回覆狀態、有效回覆判定與逐題有效 N。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第4節回收表；實際發送與原始回覆位置待填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評估工作或組織結果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分開呈現能力、應用頻率與工作成果自評；客觀主張另核對原始紀錄。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第6至11節：計算、限制、決策與證據追溯</w:t>
            </w:r>
          </w:p>
        </w:tc>
      </w:tr>
    </w:tbl>
    <w:p>
      <w:pPr>
        <w:spacing w:after="0" w:line="20" w:lineRule="exact"/>
      </w:pP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/>
          <w:b/>
          <w:color w:val="1F4E79"/>
          <w:sz w:val="30"/>
        </w:rPr>
        <w:t>二 對象與追蹤期間</w:t>
      </w:r>
    </w:p>
    <w:p>
      <w:pPr>
        <w:spacing w:after="40" w:line="240" w:lineRule="auto"/>
      </w:pPr>
      <w:r>
        <w:rPr>
          <w:rFonts w:ascii="Microsoft JhengHei" w:hAnsi="Microsoft JhengHei" w:eastAsia="Microsoft JhengHei"/>
          <w:b w:val="0"/>
          <w:sz w:val="18"/>
        </w:rPr>
        <w:t>對象：實際完成某一班次訓練的全體學員。每班次分開建立母體名冊與回收表；不得以尚未確認的課程或模擬班次填入 真實資料欄位。受訪者以代碼識別；如需姓名對照，應分開保管並限制存取。</w:t>
      </w:r>
    </w:p>
    <w:p>
      <w:pPr>
        <w:spacing w:after="40" w:line="240" w:lineRule="auto"/>
      </w:pPr>
      <w:r>
        <w:rPr>
          <w:rFonts w:ascii="Microsoft JhengHei" w:hAnsi="Microsoft JhengHei" w:eastAsia="Microsoft JhengHei"/>
          <w:b w:val="0"/>
          <w:sz w:val="18"/>
        </w:rPr>
        <w:t>建議窗口：以實際結訓日 D 為基準，於 第90日 日前後 14 日內完成一次主追蹤。這是工具設計建議，不是官方指定期間；發送前須依實際課程的工作應用週期確認窗口並記錄起訖日。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/>
        </w:trPr>
        <w:tc>
          <w:tcPr>
            <w:tcW w:type="dxa" w:w="34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6"/>
              </w:rPr>
              <w:t>控制項</w:t>
            </w:r>
          </w:p>
        </w:tc>
        <w:tc>
          <w:tcPr>
            <w:tcW w:type="dxa" w:w="34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6"/>
              </w:rPr>
              <w:t>定義與填寫規則</w:t>
            </w:r>
          </w:p>
        </w:tc>
        <w:tc>
          <w:tcPr>
            <w:tcW w:type="dxa" w:w="34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6"/>
              </w:rPr>
              <w:t>尚待補入正式原始資料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合格母體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該班次實際完成訓練且符合事先納入條件者；保存名冊版本及排除條件。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課程／班次、結訓日、納入排除條件、名冊位置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可回覆對象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首次發送時有可用且允許聯繫管道的合格學員。發送後未回覆者仍留在分母；失效聯繫另列原因。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母體 N、可回覆 N、不可聯繫 N 與紀錄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有效回覆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唯一合格學員在窗口內提交、可識別班次且至少完成一個核心評估題的回覆。重複回覆依事先規則處理；逐題 N 只計該題有效答案。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去重規則、有效回覆 N、逐題 N、排除理由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追蹤窗口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以結訓日 D 計算；同班次一致執行。調整窗口時記錄原因。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結訓日、窗口起迄、發送與提醒日期</w:t>
            </w:r>
          </w:p>
        </w:tc>
      </w:tr>
    </w:tbl>
    <w:p>
      <w:pPr>
        <w:spacing w:after="0" w:line="20" w:lineRule="exact"/>
      </w:pPr>
    </w:p>
    <w:p>
      <w:pPr>
        <w:spacing w:after="40" w:line="240" w:lineRule="auto"/>
      </w:pPr>
      <w:r>
        <w:rPr>
          <w:rFonts w:ascii="Microsoft JhengHei" w:hAnsi="Microsoft JhengHei" w:eastAsia="Microsoft JhengHei"/>
          <w:b/>
          <w:sz w:val="18"/>
        </w:rPr>
        <w:t>回收率＝有效回覆人數 ÷ 可回覆對象人數。另報合格母體 N 與不可聯繫 N，避免只呈現可回覆分母而掩蓋名冊覆蓋差異。不同題目的有效 N 可不同，必須逐題標示。</w:t>
      </w: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/>
          <w:b/>
          <w:color w:val="1F4E79"/>
          <w:sz w:val="30"/>
        </w:rPr>
        <w:t>三 問項與量尺</w:t>
      </w:r>
    </w:p>
    <w:p>
      <w:pPr>
        <w:spacing w:after="40" w:line="240" w:lineRule="auto"/>
      </w:pPr>
      <w:r>
        <w:rPr>
          <w:rFonts w:ascii="Microsoft JhengHei" w:hAnsi="Microsoft JhengHei" w:eastAsia="Microsoft JhengHei"/>
          <w:b w:val="0"/>
          <w:sz w:val="18"/>
        </w:rPr>
        <w:t>訓前評分為受訪者在追蹤時回想訓前狀態，不等同同步前測；若有真實訓前測，另保留原始檔並分開比較。能力與成果題採 1 至 5 分、分數越高狀態越佳；應用頻率題 4 至 5 分代表較常應用。發送前可依已確認班次調整核心能力描述，並記錄問卷版本。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/>
        </w:trPr>
        <w:tc>
          <w:tcPr>
            <w:tcW w:type="dxa" w:w="255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5"/>
              </w:rPr>
              <w:t>題號／構面</w:t>
            </w:r>
          </w:p>
        </w:tc>
        <w:tc>
          <w:tcPr>
            <w:tcW w:type="dxa" w:w="255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5"/>
              </w:rPr>
              <w:t>題目</w:t>
            </w:r>
          </w:p>
        </w:tc>
        <w:tc>
          <w:tcPr>
            <w:tcW w:type="dxa" w:w="255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5"/>
              </w:rPr>
              <w:t>量尺</w:t>
            </w:r>
          </w:p>
        </w:tc>
        <w:tc>
          <w:tcPr>
            <w:tcW w:type="dxa" w:w="255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5"/>
              </w:rPr>
              <w:t>4–5分解讀／佐證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第1題 能力變化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回想訓前及最近30日，你在「本班核心能力：＿＿＿」的操作或判斷能力各為幾分？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1尚不能；2需大量協助；3在提示下完成；4可獨立完成；5可穩定完成並說明。訓前／目前各評。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4–5代表目前自評可獨立或穩定完成，不單獨證明因果；附真實前測位置（如有）。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第2題 行為應用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訓前最後30日與追蹤前最近30日，將所學用於工作或服務的頻率為何？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1從未；2少於每月1次；3每月1–3次；4每週1–2次；5每週3次以上；無機會選不適用。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4–5為較常應用；須同時說明是否有應用機會。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第3題 工作成果自評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以同一項工作標準評估訓前與追蹤時表現各幾分？標準：＿＿＿。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1明顯未達；2略低於預期；3符合預期；4高於預期；5明顯高於預期；無法判斷選不適用。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自評不能代替客觀紀錄；需填指標、期間、單位及資料位置。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第4題 最有幫助內容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本次訓練中，對你最有幫助的內容是什麼？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開放題。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匿名摘錄原文；不得杜撰引言。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第5題 最需改善內容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你認為最需要改善的內容或應用障礙是什麼？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開放題。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填內容、練習、工具或工作情境。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第6題 可核實例子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能力、行為或工作結果有何變化？說明情境、期間、前後比較及可核對資料位置。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開放題；無例子填「無／待補」。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僅記非識別性摘要；承辦人核對證據位置。</w:t>
            </w:r>
          </w:p>
        </w:tc>
      </w:tr>
    </w:tbl>
    <w:p>
      <w:pPr>
        <w:spacing w:after="0" w:line="20" w:lineRule="exact"/>
      </w:pPr>
    </w:p>
    <w:p>
      <w:pPr>
        <w:spacing w:after="40" w:line="240" w:lineRule="auto"/>
      </w:pPr>
      <w:r>
        <w:rPr>
          <w:rFonts w:ascii="Microsoft JhengHei" w:hAnsi="Microsoft JhengHei" w:eastAsia="Microsoft JhengHei"/>
          <w:b w:val="0"/>
          <w:sz w:val="18"/>
        </w:rPr>
        <w:t>內部覆核問題：哪一段或哪一表直接證明「訓後調查表。」？本節 第1題–第6題 問卷、第四節發送回收控制、第六節計算規則及第十一節證據追溯表共同定位。</w:t>
      </w: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/>
          <w:b/>
          <w:color w:val="1F4E79"/>
          <w:sz w:val="30"/>
        </w:rPr>
        <w:t>四 發送與回收控制</w:t>
      </w:r>
    </w:p>
    <w:p>
      <w:pPr>
        <w:spacing w:after="40" w:line="240" w:lineRule="auto"/>
      </w:pPr>
      <w:r>
        <w:rPr>
          <w:rFonts w:ascii="Microsoft JhengHei" w:hAnsi="Microsoft JhengHei" w:eastAsia="Microsoft JhengHei"/>
          <w:b w:val="0"/>
          <w:sz w:val="18"/>
        </w:rPr>
        <w:t>發送前凍結班次名冊、問卷版本、追蹤窗口、納入排除條件及判讀門檻。對全體可回覆對象使用一致邀請內容與截止日；提醒日期、方式逐次記錄。未回覆者不是零分；不以平均值填補缺答。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/>
        </w:trPr>
        <w:tc>
          <w:tcPr>
            <w:tcW w:type="dxa" w:w="51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6"/>
              </w:rPr>
              <w:t>班次與版本欄位</w:t>
            </w:r>
          </w:p>
        </w:tc>
        <w:tc>
          <w:tcPr>
            <w:tcW w:type="dxa" w:w="51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6"/>
              </w:rPr>
              <w:t>真實資料 填寫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班次／課程名稱、代碼與結訓日</w:t>
            </w:r>
          </w:p>
        </w:tc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□ 尚待補入正式原始資料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母體 N、可回覆 N、不可聯繫 N 及原因</w:t>
            </w:r>
          </w:p>
        </w:tc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□ 尚待補入正式原始資料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問卷版本、窗口起訖、事前目標及來源位置</w:t>
            </w:r>
          </w:p>
        </w:tc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□ 尚待補入正式原始資料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承辦角色、發送日、管道；提醒日與管道</w:t>
            </w:r>
          </w:p>
        </w:tc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□ 尚待補入正式原始資料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名冊、原始問卷及回收紀錄檔案位置</w:t>
            </w:r>
          </w:p>
        </w:tc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□ 尚待補入正式原始資料</w:t>
            </w:r>
          </w:p>
        </w:tc>
      </w:tr>
    </w:tbl>
    <w:p>
      <w:pPr>
        <w:spacing w:after="0" w:line="20" w:lineRule="exact"/>
      </w:pPr>
    </w:p>
    <w:p>
      <w:pPr>
        <w:spacing w:after="40" w:line="240" w:lineRule="auto"/>
      </w:pPr>
      <w:r>
        <w:rPr>
          <w:rFonts w:ascii="Microsoft JhengHei" w:hAnsi="Microsoft JhengHei" w:eastAsia="Microsoft JhengHei"/>
          <w:b w:val="0"/>
          <w:sz w:val="18"/>
        </w:rPr>
        <w:t>逐人回收控制表（以代碼記錄；不在本表放姓名）</w:t>
      </w:r>
    </w:p>
    <w:tbl>
      <w:tblPr>
        <w:tblStyle w:val="TableGrid"/>
        <w:tblW w:type="dxa" w:w="10199"/>
        <w:jc w:val="center"/>
        <w:tblLayout w:type="autofit"/>
        <w:tblLook w:firstColumn="1" w:firstRow="1" w:lastColumn="0" w:lastRow="0" w:noHBand="0" w:noVBand="1" w:val="04A0"/>
      </w:tblPr>
      <w:tblGrid>
        <w:gridCol w:w="2549"/>
        <w:gridCol w:w="2549"/>
        <w:gridCol w:w="2549"/>
        <w:gridCol w:w="2549"/>
      </w:tblGrid>
      <w:tr>
        <w:trPr>
          <w:tblHeader/>
        </w:trPr>
        <w:tc>
          <w:tcPr>
            <w:tcW w:type="dxa" w:w="1457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代碼</w:t>
            </w:r>
          </w:p>
        </w:tc>
        <w:tc>
          <w:tcPr>
            <w:tcW w:type="dxa" w:w="1457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納入</w:t>
            </w:r>
          </w:p>
        </w:tc>
        <w:tc>
          <w:tcPr>
            <w:tcW w:type="dxa" w:w="1457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邀請日</w:t>
            </w:r>
          </w:p>
        </w:tc>
        <w:tc>
          <w:tcPr>
            <w:tcW w:type="dxa" w:w="1457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提醒紀錄</w:t>
            </w:r>
          </w:p>
        </w:tc>
      </w:tr>
      <w:tr>
        <w:trPr>
          <w:cantSplit/>
        </w:trPr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□尚待補入正式原始資料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□尚待補入正式原始資料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□尚待補入正式原始資料</w:t>
            </w:r>
          </w:p>
        </w:tc>
      </w:tr>
      <w:tr>
        <w:trPr>
          <w:cantSplit/>
        </w:trPr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□尚待補入正式原始資料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□尚待補入正式原始資料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□尚待補入正式原始資料</w:t>
            </w:r>
          </w:p>
        </w:tc>
      </w:tr>
      <w:tr>
        <w:trPr>
          <w:cantSplit/>
        </w:trPr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□尚待補入正式原始資料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□尚待補入正式原始資料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□尚待補入正式原始資料</w:t>
            </w:r>
          </w:p>
        </w:tc>
      </w:tr>
      <w:tr>
        <w:trPr>
          <w:cantSplit/>
        </w:trPr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□尚待補入正式原始資料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□尚待補入正式原始資料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□尚待補入正式原始資料</w:t>
            </w:r>
          </w:p>
        </w:tc>
      </w:tr>
    </w:tbl>
    <w:p>
      <w:pPr>
        <w:pStyle w:val="Caption"/>
      </w:pPr>
      <w:r>
        <w:rPr>
          <w:color w:val="44546A"/>
          <w:sz w:val="18"/>
        </w:rPr>
        <w:t>續表｜下表接續列示同一筆資料的其餘欄位，請依相同項目核對。</w:t>
      </w:r>
    </w:p>
    <w:tbl>
      <w:tblPr>
        <w:tblStyle w:val="TableGrid"/>
        <w:tblW w:type="dxa" w:w="10199"/>
        <w:jc w:val="center"/>
        <w:tblLayout w:type="autofit"/>
        <w:tblLook w:firstColumn="1" w:firstRow="1" w:lastColumn="0" w:lastRow="0" w:noHBand="0" w:noVBand="1" w:val="04A0"/>
      </w:tblPr>
      <w:tblGrid>
        <w:gridCol w:w="2549"/>
        <w:gridCol w:w="2549"/>
        <w:gridCol w:w="2549"/>
        <w:gridCol w:w="2549"/>
      </w:tblGrid>
      <w:tr>
        <w:trPr>
          <w:tblHeader/>
        </w:trPr>
        <w:tc>
          <w:tcPr>
            <w:tcW w:type="dxa" w:w="1457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代碼</w:t>
            </w:r>
          </w:p>
        </w:tc>
        <w:tc>
          <w:tcPr>
            <w:tcW w:type="dxa" w:w="1457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回覆日</w:t>
            </w:r>
          </w:p>
        </w:tc>
        <w:tc>
          <w:tcPr>
            <w:tcW w:type="dxa" w:w="1457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狀態／排除原因</w:t>
            </w:r>
          </w:p>
        </w:tc>
        <w:tc>
          <w:tcPr>
            <w:tcW w:type="dxa" w:w="1457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備註</w:t>
            </w:r>
          </w:p>
        </w:tc>
      </w:tr>
      <w:tr>
        <w:trPr>
          <w:cantSplit/>
        </w:trPr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□尚待補入正式原始資料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□尚待補入正式原始資料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□尚待補入正式原始資料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□尚待補入正式原始資料</w:t>
            </w:r>
          </w:p>
        </w:tc>
      </w:tr>
      <w:tr>
        <w:trPr>
          <w:cantSplit/>
        </w:trPr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□尚待補入正式原始資料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□尚待補入正式原始資料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□尚待補入正式原始資料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□尚待補入正式原始資料</w:t>
            </w:r>
          </w:p>
        </w:tc>
      </w:tr>
      <w:tr>
        <w:trPr>
          <w:cantSplit/>
        </w:trPr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□尚待補入正式原始資料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□尚待補入正式原始資料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□尚待補入正式原始資料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□尚待補入正式原始資料</w:t>
            </w:r>
          </w:p>
        </w:tc>
      </w:tr>
      <w:tr>
        <w:trPr>
          <w:cantSplit/>
        </w:trPr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□尚待補入正式原始資料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□尚待補入正式原始資料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□尚待補入正式原始資料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□尚待補入正式原始資料</w:t>
            </w:r>
          </w:p>
        </w:tc>
      </w:tr>
    </w:tbl>
    <w:p>
      <w:pPr>
        <w:spacing w:after="0" w:line="20" w:lineRule="exact"/>
      </w:pP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/>
          <w:b/>
          <w:color w:val="1F4E79"/>
          <w:sz w:val="30"/>
        </w:rPr>
        <w:t>五 可直接使用的空白問卷</w:t>
      </w:r>
    </w:p>
    <w:p>
      <w:pPr>
        <w:spacing w:after="40" w:line="240" w:lineRule="auto"/>
      </w:pPr>
      <w:r>
        <w:rPr>
          <w:rFonts w:ascii="Microsoft JhengHei" w:hAnsi="Microsoft JhengHei" w:eastAsia="Microsoft JhengHei"/>
          <w:b w:val="0"/>
          <w:sz w:val="18"/>
        </w:rPr>
        <w:t>發送前填妥班次資料、核心能力描述及聯絡方式；不得保留未核實的模擬班次或分數。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/>
        </w:trPr>
        <w:tc>
          <w:tcPr>
            <w:tcW w:type="dxa" w:w="51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6"/>
              </w:rPr>
              <w:t>識別欄</w:t>
            </w:r>
          </w:p>
        </w:tc>
        <w:tc>
          <w:tcPr>
            <w:tcW w:type="dxa" w:w="51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6"/>
              </w:rPr>
              <w:t>填寫內容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問卷版本／班次代碼</w:t>
            </w:r>
          </w:p>
        </w:tc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□ 尚待補入正式原始資料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結訓日／追蹤日期</w:t>
            </w:r>
          </w:p>
        </w:tc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□ 尚待補入正式原始資料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受訪者代碼（不填姓名）</w:t>
            </w:r>
          </w:p>
        </w:tc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□ 尚待補入正式原始資料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回答日期／是否同意後續聯繫</w:t>
            </w:r>
          </w:p>
        </w:tc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□ 尚待補入正式原始資料</w:t>
            </w:r>
          </w:p>
        </w:tc>
      </w:tr>
    </w:tbl>
    <w:p>
      <w:pPr>
        <w:spacing w:after="0" w:line="20" w:lineRule="exact"/>
      </w:pPr>
    </w:p>
    <w:p>
      <w:pPr>
        <w:spacing w:after="40" w:line="240" w:lineRule="auto"/>
      </w:pPr>
      <w:r>
        <w:rPr>
          <w:rFonts w:ascii="Microsoft JhengHei" w:hAnsi="Microsoft JhengHei" w:eastAsia="Microsoft JhengHei"/>
          <w:b w:val="0"/>
          <w:sz w:val="18"/>
        </w:rPr>
        <w:t>A 能力自評：用同一項本班核心能力分別評訓前與目前。訓前分數是回溯自評；如有同期前測另註檔案位置。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/>
        </w:trPr>
        <w:tc>
          <w:tcPr>
            <w:tcW w:type="dxa" w:w="204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5"/>
              </w:rPr>
              <w:t>核心能力</w:t>
            </w:r>
          </w:p>
        </w:tc>
        <w:tc>
          <w:tcPr>
            <w:tcW w:type="dxa" w:w="204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5"/>
              </w:rPr>
              <w:t>訓前1–5／不適用</w:t>
            </w:r>
          </w:p>
        </w:tc>
        <w:tc>
          <w:tcPr>
            <w:tcW w:type="dxa" w:w="204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5"/>
              </w:rPr>
              <w:t>目前1–5／不適用</w:t>
            </w:r>
          </w:p>
        </w:tc>
        <w:tc>
          <w:tcPr>
            <w:tcW w:type="dxa" w:w="204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5"/>
              </w:rPr>
              <w:t>差值</w:t>
            </w:r>
          </w:p>
        </w:tc>
        <w:tc>
          <w:tcPr>
            <w:tcW w:type="dxa" w:w="204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5"/>
              </w:rPr>
              <w:t>說明／佐證位置</w:t>
            </w:r>
          </w:p>
        </w:tc>
      </w:tr>
      <w:tr>
        <w:trPr>
          <w:cantSplit/>
        </w:trPr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□ 尚待補入正式原始資料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□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□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□ 尚待補入正式原始資料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□ 尚待補入正式原始資料</w:t>
            </w:r>
          </w:p>
        </w:tc>
      </w:tr>
      <w:tr>
        <w:trPr>
          <w:cantSplit/>
        </w:trPr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□ 尚待補入正式原始資料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□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□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□ 尚待補入正式原始資料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□ 尚待補入正式原始資料</w:t>
            </w:r>
          </w:p>
        </w:tc>
      </w:tr>
    </w:tbl>
    <w:p>
      <w:pPr>
        <w:spacing w:after="0" w:line="20" w:lineRule="exact"/>
      </w:pPr>
    </w:p>
    <w:p>
      <w:pPr>
        <w:spacing w:after="40" w:line="240" w:lineRule="auto"/>
      </w:pPr>
      <w:r>
        <w:rPr>
          <w:rFonts w:ascii="Microsoft JhengHei" w:hAnsi="Microsoft JhengHei" w:eastAsia="Microsoft JhengHei"/>
          <w:b w:val="0"/>
          <w:sz w:val="18"/>
        </w:rPr>
        <w:t>B 行為應用：訓前最後30日與追蹤前最近30日的應用頻率；無應用機會選不適用，不以零分代替。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rPr>
          <w:tblHeader/>
        </w:trPr>
        <w:tc>
          <w:tcPr>
            <w:tcW w:type="dxa" w:w="1457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期間</w:t>
            </w:r>
          </w:p>
        </w:tc>
        <w:tc>
          <w:tcPr>
            <w:tcW w:type="dxa" w:w="1457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1從未</w:t>
            </w:r>
          </w:p>
        </w:tc>
        <w:tc>
          <w:tcPr>
            <w:tcW w:type="dxa" w:w="1457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2少於每月1次</w:t>
            </w:r>
          </w:p>
        </w:tc>
        <w:tc>
          <w:tcPr>
            <w:tcW w:type="dxa" w:w="1457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3每月1–3次</w:t>
            </w:r>
          </w:p>
        </w:tc>
        <w:tc>
          <w:tcPr>
            <w:tcW w:type="dxa" w:w="1457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4每週1–2次</w:t>
            </w:r>
          </w:p>
        </w:tc>
        <w:tc>
          <w:tcPr>
            <w:tcW w:type="dxa" w:w="1457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5每週3次以上</w:t>
            </w:r>
          </w:p>
        </w:tc>
        <w:tc>
          <w:tcPr>
            <w:tcW w:type="dxa" w:w="1457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不適用</w:t>
            </w:r>
          </w:p>
        </w:tc>
      </w:tr>
      <w:tr>
        <w:trPr>
          <w:cantSplit/>
        </w:trPr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訓前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</w:t>
            </w:r>
          </w:p>
        </w:tc>
      </w:tr>
      <w:tr>
        <w:trPr>
          <w:cantSplit/>
        </w:trPr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追蹤前最近30日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</w:t>
            </w:r>
          </w:p>
        </w:tc>
      </w:tr>
    </w:tbl>
    <w:p>
      <w:pPr>
        <w:spacing w:after="0" w:line="20" w:lineRule="exact"/>
      </w:pPr>
    </w:p>
    <w:p>
      <w:pPr>
        <w:spacing w:after="40" w:line="240" w:lineRule="auto"/>
      </w:pPr>
      <w:r>
        <w:rPr>
          <w:rFonts w:ascii="Microsoft JhengHei" w:hAnsi="Microsoft JhengHei" w:eastAsia="Microsoft JhengHei"/>
          <w:b w:val="0"/>
          <w:sz w:val="18"/>
        </w:rPr>
        <w:t>C 工作成果自評：先寫明同一項工作標準與單位，再填訓前及目前。自陳不能代替客觀工作紀錄。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/>
        </w:trPr>
        <w:tc>
          <w:tcPr>
            <w:tcW w:type="dxa" w:w="204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工作標準／單位</w:t>
            </w:r>
          </w:p>
        </w:tc>
        <w:tc>
          <w:tcPr>
            <w:tcW w:type="dxa" w:w="204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訓前1–5／不適用</w:t>
            </w:r>
          </w:p>
        </w:tc>
        <w:tc>
          <w:tcPr>
            <w:tcW w:type="dxa" w:w="204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目前1–5／不適用</w:t>
            </w:r>
          </w:p>
        </w:tc>
        <w:tc>
          <w:tcPr>
            <w:tcW w:type="dxa" w:w="204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差值</w:t>
            </w:r>
          </w:p>
        </w:tc>
        <w:tc>
          <w:tcPr>
            <w:tcW w:type="dxa" w:w="204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資料位置／待核事項</w:t>
            </w:r>
          </w:p>
        </w:tc>
      </w:tr>
      <w:tr>
        <w:trPr>
          <w:cantSplit/>
        </w:trPr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 尚待補入正式原始資料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 尚待補入正式原始資料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 尚待補入正式原始資料</w:t>
            </w:r>
          </w:p>
        </w:tc>
      </w:tr>
    </w:tbl>
    <w:p>
      <w:pPr>
        <w:spacing w:after="0" w:line="20" w:lineRule="exact"/>
      </w:pPr>
    </w:p>
    <w:p>
      <w:pPr>
        <w:spacing w:after="40" w:line="240" w:lineRule="auto"/>
      </w:pPr>
      <w:r>
        <w:rPr>
          <w:rFonts w:ascii="Microsoft JhengHei" w:hAnsi="Microsoft JhengHei" w:eastAsia="Microsoft JhengHei"/>
          <w:b/>
          <w:sz w:val="18"/>
        </w:rPr>
        <w:t>D 本次訓練中，對你最有幫助的內容是什麼？</w:t>
      </w:r>
    </w:p>
    <w:p>
      <w:pPr>
        <w:spacing w:after="40" w:line="240" w:lineRule="auto"/>
      </w:pPr>
      <w:r>
        <w:rPr>
          <w:rFonts w:ascii="Microsoft JhengHei" w:hAnsi="Microsoft JhengHei" w:eastAsia="Microsoft JhengHei"/>
          <w:b w:val="0"/>
          <w:sz w:val="18"/>
        </w:rPr>
        <w:t>回答：□ 尚待補入正式原始資料</w:t>
        <w:br/>
        <w:t>________________________________________________________________________________</w:t>
      </w:r>
    </w:p>
    <w:p>
      <w:pPr>
        <w:spacing w:after="40" w:line="240" w:lineRule="auto"/>
      </w:pPr>
      <w:r>
        <w:rPr>
          <w:rFonts w:ascii="Microsoft JhengHei" w:hAnsi="Microsoft JhengHei" w:eastAsia="Microsoft JhengHei"/>
          <w:b/>
          <w:sz w:val="18"/>
        </w:rPr>
        <w:t>E 你認為最需改善的內容、工作條件或應用障礙是什麼？</w:t>
      </w:r>
    </w:p>
    <w:p>
      <w:pPr>
        <w:spacing w:after="40" w:line="240" w:lineRule="auto"/>
      </w:pPr>
      <w:r>
        <w:rPr>
          <w:rFonts w:ascii="Microsoft JhengHei" w:hAnsi="Microsoft JhengHei" w:eastAsia="Microsoft JhengHei"/>
          <w:b w:val="0"/>
          <w:sz w:val="18"/>
        </w:rPr>
        <w:t>回答：□ 尚待補入正式原始資料</w:t>
        <w:br/>
        <w:t>________________________________________________________________________________</w:t>
      </w:r>
    </w:p>
    <w:p>
      <w:pPr>
        <w:spacing w:after="40" w:line="240" w:lineRule="auto"/>
      </w:pPr>
      <w:r>
        <w:rPr>
          <w:rFonts w:ascii="Microsoft JhengHei" w:hAnsi="Microsoft JhengHei" w:eastAsia="Microsoft JhengHei"/>
          <w:b/>
          <w:sz w:val="18"/>
        </w:rPr>
        <w:t>F 能力、行為或成果有何具體變化？請填情境、期間、前後比較及可核對資料位置；無例子填「無／待補」。</w:t>
      </w:r>
    </w:p>
    <w:p>
      <w:pPr>
        <w:spacing w:after="40" w:line="240" w:lineRule="auto"/>
      </w:pPr>
      <w:r>
        <w:rPr>
          <w:rFonts w:ascii="Microsoft JhengHei" w:hAnsi="Microsoft JhengHei" w:eastAsia="Microsoft JhengHei"/>
          <w:b w:val="0"/>
          <w:sz w:val="18"/>
        </w:rPr>
        <w:t>回答：□ 尚待補入正式原始資料</w:t>
        <w:br/>
        <w:t>________________________________________________________________________________</w:t>
      </w:r>
    </w:p>
    <w:p>
      <w:pPr>
        <w:spacing w:after="40" w:line="240" w:lineRule="auto"/>
      </w:pPr>
      <w:r>
        <w:rPr>
          <w:rFonts w:ascii="Microsoft JhengHei" w:hAnsi="Microsoft JhengHei" w:eastAsia="Microsoft JhengHei"/>
          <w:b/>
          <w:sz w:val="18"/>
        </w:rPr>
        <w:t>個資提醒：不填服務對象姓名、可辨識個資或不必要的健康資料。後續聯繫依實際同意範圍處理；原始回覆與代碼對照限制存取。</w:t>
      </w: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/>
          <w:b/>
          <w:color w:val="1F4E79"/>
          <w:sz w:val="30"/>
        </w:rPr>
        <w:t>六 統計口徑與空白結果表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/>
        </w:trPr>
        <w:tc>
          <w:tcPr>
            <w:tcW w:type="dxa" w:w="255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5"/>
              </w:rPr>
              <w:t>指標</w:t>
            </w:r>
          </w:p>
        </w:tc>
        <w:tc>
          <w:tcPr>
            <w:tcW w:type="dxa" w:w="255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5"/>
              </w:rPr>
              <w:t>計算式</w:t>
            </w:r>
          </w:p>
        </w:tc>
        <w:tc>
          <w:tcPr>
            <w:tcW w:type="dxa" w:w="255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5"/>
              </w:rPr>
              <w:t>分母／缺答規則</w:t>
            </w:r>
          </w:p>
        </w:tc>
        <w:tc>
          <w:tcPr>
            <w:tcW w:type="dxa" w:w="255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5"/>
              </w:rPr>
              <w:t>報告方式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回收率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有效回覆 ÷ 可回覆對象 × 100%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未回覆保留在首次發送時可聯繫的分母；另報合格母體。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列母體 N、可回覆 N、有效回覆 N、不可聯繫 N。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逐題平均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有效分數總和 ÷ 該題有效回答數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有效1–5分；不適用與空白不計，逐題列 N。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列訓前、追蹤平均及差值。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正向率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追蹤時4–5分人數 ÷ 該題有效回答數 × 100%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逐題有效 N 為分母；不適用與空白不計。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列4–5分人數／有效 N／百分比。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配對比較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同一受訪者兩時點差值，再報平均差。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任一時點缺答即不納入該題配對；不插補。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列配對 N；回溯自評與同期前測分開。</w:t>
            </w:r>
          </w:p>
        </w:tc>
      </w:tr>
    </w:tbl>
    <w:p>
      <w:pPr>
        <w:spacing w:after="0" w:line="20" w:lineRule="exact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rPr>
          <w:tblHeader/>
        </w:trPr>
        <w:tc>
          <w:tcPr>
            <w:tcW w:type="dxa" w:w="17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題目</w:t>
            </w:r>
          </w:p>
        </w:tc>
        <w:tc>
          <w:tcPr>
            <w:tcW w:type="dxa" w:w="17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訓前 N／平均</w:t>
            </w:r>
          </w:p>
        </w:tc>
        <w:tc>
          <w:tcPr>
            <w:tcW w:type="dxa" w:w="17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追蹤 N／平均</w:t>
            </w:r>
          </w:p>
        </w:tc>
        <w:tc>
          <w:tcPr>
            <w:tcW w:type="dxa" w:w="17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配對 N／平均差</w:t>
            </w:r>
          </w:p>
        </w:tc>
        <w:tc>
          <w:tcPr>
            <w:tcW w:type="dxa" w:w="17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4–5分人數／N／率</w:t>
            </w:r>
          </w:p>
        </w:tc>
        <w:tc>
          <w:tcPr>
            <w:tcW w:type="dxa" w:w="17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原始資料位置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第1題 能力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□尚待補入正式原始資料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□尚待補入正式原始資料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□尚待補入正式原始資料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□尚待補入正式原始資料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□尚待補入正式原始資料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第2題 行為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□尚待補入正式原始資料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□尚待補入正式原始資料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□尚待補入正式原始資料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□尚待補入正式原始資料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□尚待補入正式原始資料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第3題 成果自評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□尚待補入正式原始資料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□尚待補入正式原始資料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□尚待補入正式原始資料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□尚待補入正式原始資料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□尚待補入正式原始資料</w:t>
            </w:r>
          </w:p>
        </w:tc>
      </w:tr>
    </w:tbl>
    <w:p>
      <w:pPr>
        <w:spacing w:after="0" w:line="20" w:lineRule="exact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/>
        </w:trPr>
        <w:tc>
          <w:tcPr>
            <w:tcW w:type="dxa" w:w="51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6"/>
              </w:rPr>
              <w:t>回收與判讀欄位</w:t>
            </w:r>
          </w:p>
        </w:tc>
        <w:tc>
          <w:tcPr>
            <w:tcW w:type="dxa" w:w="51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6"/>
              </w:rPr>
              <w:t>真實資料 填寫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母體 N／可回覆 N／不可聯繫 N</w:t>
            </w:r>
          </w:p>
        </w:tc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□ 尚待補入正式原始資料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有效回覆 N／回收率</w:t>
            </w:r>
          </w:p>
        </w:tc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□ 尚待補入正式原始資料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事前目標、設定日期及決定位置</w:t>
            </w:r>
          </w:p>
        </w:tc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□ 尚待補入正式原始資料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清理、去重、缺答、排除規則及覆核角色</w:t>
            </w:r>
          </w:p>
        </w:tc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□ 尚待補入正式原始資料</w:t>
            </w:r>
          </w:p>
        </w:tc>
      </w:tr>
    </w:tbl>
    <w:p>
      <w:pPr>
        <w:spacing w:after="0" w:line="20" w:lineRule="exact"/>
      </w:pP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/>
          <w:b/>
          <w:color w:val="1F4E79"/>
          <w:sz w:val="30"/>
        </w:rPr>
        <w:t>七 結果限制與後續決策</w:t>
      </w:r>
    </w:p>
    <w:p>
      <w:pPr>
        <w:spacing w:after="40" w:line="240" w:lineRule="auto"/>
      </w:pPr>
      <w:r>
        <w:rPr>
          <w:rFonts w:ascii="Microsoft JhengHei" w:hAnsi="Microsoft JhengHei" w:eastAsia="Microsoft JhengHei"/>
          <w:b w:val="0"/>
          <w:sz w:val="18"/>
        </w:rPr>
        <w:t>先核對母體與分母，再解讀逐題有效 N、平均、正向率及配對差。自陳與客觀紀錄分開呈現。只有自陳時，結論限於「受訪者自評」或「回覆者表示」；不得寫成已證實績效、訓練因果效果或全體學員結果。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/>
        </w:trPr>
        <w:tc>
          <w:tcPr>
            <w:tcW w:type="dxa" w:w="255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結果情形</w:t>
            </w:r>
          </w:p>
        </w:tc>
        <w:tc>
          <w:tcPr>
            <w:tcW w:type="dxa" w:w="255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後續處理</w:t>
            </w:r>
          </w:p>
        </w:tc>
        <w:tc>
          <w:tcPr>
            <w:tcW w:type="dxa" w:w="255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決策前須補資料</w:t>
            </w:r>
          </w:p>
        </w:tc>
        <w:tc>
          <w:tcPr>
            <w:tcW w:type="dxa" w:w="255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責任／決策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回收率低於事前門檻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檢查名冊覆蓋、退信及提醒；列未回覆數與限制。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有效分母、失聯原因、提醒紀錄、門檻來源。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□尚待補入正式原始資料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能力或應用低於門檻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先彙整困難與應用障礙，再決定是否調整練習、教材或支持。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逐題原始 N、開放題編碼、決定紀錄。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□尚待補入正式原始資料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成果主張缺佐證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暫報自評；允許後再核對同期工作紀錄。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指標定義、期間、單位、原始資料位置。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□尚待補入正式原始資料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缺答或回覆者差異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列缺答、排除及回收差異，不補值、不推估未回覆者。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逐題 N、缺答原因、分母說明。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□尚待補入正式原始資料</w:t>
            </w:r>
          </w:p>
        </w:tc>
      </w:tr>
    </w:tbl>
    <w:p>
      <w:pPr>
        <w:spacing w:after="0" w:line="20" w:lineRule="exact"/>
      </w:pPr>
    </w:p>
    <w:p>
      <w:pPr>
        <w:spacing w:after="40" w:line="240" w:lineRule="auto"/>
      </w:pPr>
      <w:r>
        <w:rPr>
          <w:rFonts w:ascii="Microsoft JhengHei" w:hAnsi="Microsoft JhengHei" w:eastAsia="Microsoft JhengHei"/>
          <w:b w:val="0"/>
          <w:sz w:val="18"/>
        </w:rPr>
        <w:t>後續驗證：填真實班次與窗口 → 凍結版本、母體及目標 → 發送並記錄提醒 → 去重並保留原始回覆 → 依逐題分母計算 → 核對成果佐證 → 記錄改善措施、責任角色、期限及再驗證位置。尚未完成者維持待補。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/>
        </w:trPr>
        <w:tc>
          <w:tcPr>
            <w:tcW w:type="dxa" w:w="204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改善依據</w:t>
            </w:r>
          </w:p>
        </w:tc>
        <w:tc>
          <w:tcPr>
            <w:tcW w:type="dxa" w:w="204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目標與差距</w:t>
            </w:r>
          </w:p>
        </w:tc>
        <w:tc>
          <w:tcPr>
            <w:tcW w:type="dxa" w:w="204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措施</w:t>
            </w:r>
          </w:p>
        </w:tc>
        <w:tc>
          <w:tcPr>
            <w:tcW w:type="dxa" w:w="204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責任角色／期限</w:t>
            </w:r>
          </w:p>
        </w:tc>
        <w:tc>
          <w:tcPr>
            <w:tcW w:type="dxa" w:w="204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驗證指標／證據位置</w:t>
            </w:r>
          </w:p>
        </w:tc>
      </w:tr>
      <w:tr>
        <w:trPr>
          <w:cantSplit/>
        </w:trPr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□尚待補入正式原始資料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□尚待補入正式原始資料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□尚待補入正式原始資料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□尚待補入正式原始資料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□尚待補入正式原始資料</w:t>
            </w:r>
          </w:p>
        </w:tc>
      </w:tr>
      <w:tr>
        <w:trPr>
          <w:cantSplit/>
        </w:trPr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□尚待補入正式原始資料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□尚待補入正式原始資料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□尚待補入正式原始資料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□尚待補入正式原始資料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□尚待補入正式原始資料</w:t>
            </w:r>
          </w:p>
        </w:tc>
      </w:tr>
    </w:tbl>
    <w:p>
      <w:pPr>
        <w:spacing w:after="0" w:line="20" w:lineRule="exact"/>
      </w:pPr>
    </w:p>
    <w:p>
      <w:pPr>
        <w:spacing w:after="40" w:line="240" w:lineRule="auto"/>
      </w:pPr>
      <w:r>
        <w:rPr>
          <w:rFonts w:ascii="Microsoft JhengHei" w:hAnsi="Microsoft JhengHei" w:eastAsia="Microsoft JhengHei"/>
          <w:b w:val="0"/>
          <w:sz w:val="18"/>
        </w:rPr>
        <w:t>限制：回溯訓前自評有記憶偏差；可回覆者可能不同於未回覆者；小樣本比例不穩定；自陳不能證明因果；沒有客觀來源時不得稱已驗證成果。</w:t>
      </w: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/>
          <w:b/>
          <w:color w:val="1F4E79"/>
          <w:sz w:val="30"/>
        </w:rPr>
        <w:t>八 模擬演算示例 非協會實際成果</w:t>
      </w:r>
    </w:p>
    <w:p>
      <w:pPr>
        <w:spacing w:after="40" w:line="240" w:lineRule="auto"/>
      </w:pPr>
      <w:r>
        <w:rPr>
          <w:rFonts w:ascii="Microsoft JhengHei" w:hAnsi="Microsoft JhengHei" w:eastAsia="Microsoft JhengHei"/>
          <w:b/>
          <w:color w:val="9C0006"/>
          <w:sz w:val="18"/>
        </w:rPr>
        <w:t>以下母體、代碼、分數、統計值與門檻全部是假設的模擬資料，沒有對應真實班次、學員或調查。本段只演示計算、缺答及後續編碼；不得複製為協會結果。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/>
        </w:trPr>
        <w:tc>
          <w:tcPr>
            <w:tcW w:type="dxa" w:w="34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6"/>
              </w:rPr>
              <w:t>模擬控制數</w:t>
            </w:r>
          </w:p>
        </w:tc>
        <w:tc>
          <w:tcPr>
            <w:tcW w:type="dxa" w:w="34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6"/>
              </w:rPr>
              <w:t>模擬值</w:t>
            </w:r>
          </w:p>
        </w:tc>
        <w:tc>
          <w:tcPr>
            <w:tcW w:type="dxa" w:w="34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6"/>
              </w:rPr>
              <w:t>說明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合格母體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12人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假設名冊規模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可回覆對象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10人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假設有有效聯繫管道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無有效聯繫管道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2人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另列，不放入回收率分母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有效回覆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8人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代碼樣本01–樣本08，非真人資料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回收率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8÷10＝80.0%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有效回覆÷可回覆對象</w:t>
            </w:r>
          </w:p>
        </w:tc>
      </w:tr>
    </w:tbl>
    <w:p>
      <w:pPr>
        <w:spacing w:after="0" w:line="20" w:lineRule="exact"/>
      </w:pPr>
    </w:p>
    <w:p>
      <w:pPr>
        <w:spacing w:after="40" w:line="240" w:lineRule="auto"/>
      </w:pPr>
      <w:r>
        <w:rPr>
          <w:rFonts w:ascii="Microsoft JhengHei" w:hAnsi="Microsoft JhengHei" w:eastAsia="Microsoft JhengHei"/>
          <w:b/>
          <w:sz w:val="18"/>
        </w:rPr>
        <w:t>【模擬演算】8 ÷ 10 × 100%＝80.0%。母體 12、可回覆 10、無有效聯繫管道 2、回覆 8 均為假設值；實際使用須以名冊及回覆紀錄替換。</w:t>
      </w: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/>
          <w:b/>
          <w:color w:val="1F4E79"/>
          <w:sz w:val="30"/>
        </w:rPr>
        <w:t>九 模擬分數、統計與前後比較圖</w:t>
      </w:r>
    </w:p>
    <w:p>
      <w:pPr>
        <w:spacing w:after="40" w:line="240" w:lineRule="auto"/>
      </w:pPr>
      <w:r>
        <w:rPr>
          <w:rFonts w:ascii="Microsoft JhengHei" w:hAnsi="Microsoft JhengHei" w:eastAsia="Microsoft JhengHei"/>
          <w:b w:val="0"/>
          <w:sz w:val="18"/>
        </w:rPr>
        <w:t>訓前分數為模擬回溯自評。第3題 的 樣本08 追蹤值模擬缺答；逐題及配對計算均排除此筆，不補值。</w:t>
      </w:r>
    </w:p>
    <w:tbl>
      <w:tblPr>
        <w:tblStyle w:val="TableGrid"/>
        <w:tblW w:type="dxa" w:w="10199"/>
        <w:jc w:val="center"/>
        <w:tblLayout w:type="autofit"/>
        <w:tblLook w:firstColumn="1" w:firstRow="1" w:lastColumn="0" w:lastRow="0" w:noHBand="0" w:noVBand="1" w:val="04A0"/>
      </w:tblPr>
      <w:tblGrid>
        <w:gridCol w:w="2549"/>
        <w:gridCol w:w="2549"/>
        <w:gridCol w:w="2549"/>
        <w:gridCol w:w="2549"/>
      </w:tblGrid>
      <w:tr>
        <w:trPr>
          <w:tblHeader/>
        </w:trPr>
        <w:tc>
          <w:tcPr>
            <w:tcW w:type="dxa" w:w="1457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5"/>
              </w:rPr>
              <w:t>模擬代碼</w:t>
            </w:r>
          </w:p>
        </w:tc>
        <w:tc>
          <w:tcPr>
            <w:tcW w:type="dxa" w:w="1457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5"/>
              </w:rPr>
              <w:t>第1題訓前</w:t>
            </w:r>
          </w:p>
        </w:tc>
        <w:tc>
          <w:tcPr>
            <w:tcW w:type="dxa" w:w="1457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5"/>
              </w:rPr>
              <w:t>第1題追蹤</w:t>
            </w:r>
          </w:p>
        </w:tc>
        <w:tc>
          <w:tcPr>
            <w:tcW w:type="dxa" w:w="1457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5"/>
              </w:rPr>
              <w:t>第2題訓前</w:t>
            </w:r>
          </w:p>
        </w:tc>
      </w:tr>
      <w:tr>
        <w:trPr>
          <w:cantSplit/>
        </w:trPr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樣本01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2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5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1</w:t>
            </w:r>
          </w:p>
        </w:tc>
      </w:tr>
      <w:tr>
        <w:trPr>
          <w:cantSplit/>
        </w:trPr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樣本02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4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2</w:t>
            </w:r>
          </w:p>
        </w:tc>
      </w:tr>
      <w:tr>
        <w:trPr>
          <w:cantSplit/>
        </w:trPr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樣本03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2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4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2</w:t>
            </w:r>
          </w:p>
        </w:tc>
      </w:tr>
      <w:tr>
        <w:trPr>
          <w:cantSplit/>
        </w:trPr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樣本04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2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1</w:t>
            </w:r>
          </w:p>
        </w:tc>
      </w:tr>
      <w:tr>
        <w:trPr>
          <w:cantSplit/>
        </w:trPr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樣本05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4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2</w:t>
            </w:r>
          </w:p>
        </w:tc>
      </w:tr>
      <w:tr>
        <w:trPr>
          <w:cantSplit/>
        </w:trPr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樣本06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5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</w:tr>
      <w:tr>
        <w:trPr>
          <w:cantSplit/>
        </w:trPr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樣本07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2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1</w:t>
            </w:r>
          </w:p>
        </w:tc>
      </w:tr>
      <w:tr>
        <w:trPr>
          <w:cantSplit/>
        </w:trPr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樣本08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4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2</w:t>
            </w:r>
          </w:p>
        </w:tc>
      </w:tr>
    </w:tbl>
    <w:p>
      <w:pPr>
        <w:pStyle w:val="Caption"/>
      </w:pPr>
      <w:r>
        <w:rPr>
          <w:color w:val="44546A"/>
          <w:sz w:val="18"/>
        </w:rPr>
        <w:t>續表｜下表接續列示同一筆資料的其餘欄位，請依相同項目核對。</w:t>
      </w:r>
    </w:p>
    <w:tbl>
      <w:tblPr>
        <w:tblStyle w:val="TableGrid"/>
        <w:tblW w:type="dxa" w:w="10199"/>
        <w:jc w:val="center"/>
        <w:tblLayout w:type="autofit"/>
        <w:tblLook w:firstColumn="1" w:firstRow="1" w:lastColumn="0" w:lastRow="0" w:noHBand="0" w:noVBand="1" w:val="04A0"/>
      </w:tblPr>
      <w:tblGrid>
        <w:gridCol w:w="2549"/>
        <w:gridCol w:w="2549"/>
        <w:gridCol w:w="2549"/>
        <w:gridCol w:w="2549"/>
      </w:tblGrid>
      <w:tr>
        <w:trPr>
          <w:tblHeader/>
        </w:trPr>
        <w:tc>
          <w:tcPr>
            <w:tcW w:type="dxa" w:w="1457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5"/>
              </w:rPr>
              <w:t>模擬代碼</w:t>
            </w:r>
          </w:p>
        </w:tc>
        <w:tc>
          <w:tcPr>
            <w:tcW w:type="dxa" w:w="1457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5"/>
              </w:rPr>
              <w:t>第2題追蹤</w:t>
            </w:r>
          </w:p>
        </w:tc>
        <w:tc>
          <w:tcPr>
            <w:tcW w:type="dxa" w:w="1457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5"/>
              </w:rPr>
              <w:t>第3題訓前</w:t>
            </w:r>
          </w:p>
        </w:tc>
        <w:tc>
          <w:tcPr>
            <w:tcW w:type="dxa" w:w="1457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5"/>
              </w:rPr>
              <w:t>第3題追蹤</w:t>
            </w:r>
          </w:p>
        </w:tc>
      </w:tr>
      <w:tr>
        <w:trPr>
          <w:cantSplit/>
        </w:trPr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樣本01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2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5</w:t>
            </w:r>
          </w:p>
        </w:tc>
      </w:tr>
      <w:tr>
        <w:trPr>
          <w:cantSplit/>
        </w:trPr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樣本02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4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4</w:t>
            </w:r>
          </w:p>
        </w:tc>
      </w:tr>
      <w:tr>
        <w:trPr>
          <w:cantSplit/>
        </w:trPr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樣本03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</w:tr>
      <w:tr>
        <w:trPr>
          <w:cantSplit/>
        </w:trPr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樣本04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2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2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</w:tr>
      <w:tr>
        <w:trPr>
          <w:cantSplit/>
        </w:trPr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樣本05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4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4</w:t>
            </w:r>
          </w:p>
        </w:tc>
      </w:tr>
      <w:tr>
        <w:trPr>
          <w:cantSplit/>
        </w:trPr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樣本06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2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2</w:t>
            </w:r>
          </w:p>
        </w:tc>
      </w:tr>
      <w:tr>
        <w:trPr>
          <w:cantSplit/>
        </w:trPr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樣本07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2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4</w:t>
            </w:r>
          </w:p>
        </w:tc>
      </w:tr>
      <w:tr>
        <w:trPr>
          <w:cantSplit/>
        </w:trPr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樣本08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4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  <w:tc>
          <w:tcPr>
            <w:tcW w:type="dxa" w:w="145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缺答</w:t>
            </w:r>
          </w:p>
        </w:tc>
      </w:tr>
    </w:tbl>
    <w:p>
      <w:pPr>
        <w:spacing w:after="0" w:line="20" w:lineRule="exact"/>
      </w:pPr>
    </w:p>
    <w:p>
      <w:pPr>
        <w:spacing w:after="40" w:line="240" w:lineRule="auto"/>
      </w:pPr>
      <w:r>
        <w:rPr>
          <w:rFonts w:ascii="Microsoft JhengHei" w:hAnsi="Microsoft JhengHei" w:eastAsia="Microsoft JhengHei"/>
          <w:b w:val="0"/>
          <w:sz w:val="18"/>
        </w:rPr>
        <w:t>【模擬演算】第1題能力：訓前總分20、N=8、平均2.50；追蹤總分32、N=8、平均4.00；平均差+1.50；追蹤4–5分6/8＝75.0%。</w:t>
      </w:r>
    </w:p>
    <w:p>
      <w:pPr>
        <w:spacing w:after="40" w:line="240" w:lineRule="auto"/>
      </w:pPr>
      <w:r>
        <w:rPr>
          <w:rFonts w:ascii="Microsoft JhengHei" w:hAnsi="Microsoft JhengHei" w:eastAsia="Microsoft JhengHei"/>
          <w:b w:val="0"/>
          <w:sz w:val="18"/>
        </w:rPr>
        <w:t>【模擬演算】第2題應用：訓前總分14、N=8、平均1.75；追蹤總分25、N=8、平均3.13（精確值3.125）；差+1.38（精確值1.375）；追蹤4–5分3/8＝37.5%。</w:t>
      </w:r>
    </w:p>
    <w:p>
      <w:pPr>
        <w:spacing w:after="40" w:line="240" w:lineRule="auto"/>
      </w:pPr>
      <w:r>
        <w:rPr>
          <w:rFonts w:ascii="Microsoft JhengHei" w:hAnsi="Microsoft JhengHei" w:eastAsia="Microsoft JhengHei"/>
          <w:b w:val="0"/>
          <w:sz w:val="18"/>
        </w:rPr>
        <w:t>【模擬演算】第3題成果自評：配對訓前總分18、N=7、平均2.57；追蹤總分25、N=7、平均3.57；差+1.00；追蹤4–5分4/7＝57.1%。第3題 沒有客觀佐證，不能稱為已證實工作成效。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rPr>
          <w:tblHeader/>
        </w:trPr>
        <w:tc>
          <w:tcPr>
            <w:tcW w:type="dxa" w:w="17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模擬構面</w:t>
            </w:r>
          </w:p>
        </w:tc>
        <w:tc>
          <w:tcPr>
            <w:tcW w:type="dxa" w:w="17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訓前平均（N）</w:t>
            </w:r>
          </w:p>
        </w:tc>
        <w:tc>
          <w:tcPr>
            <w:tcW w:type="dxa" w:w="17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追蹤平均（N）</w:t>
            </w:r>
          </w:p>
        </w:tc>
        <w:tc>
          <w:tcPr>
            <w:tcW w:type="dxa" w:w="17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平均差</w:t>
            </w:r>
          </w:p>
        </w:tc>
        <w:tc>
          <w:tcPr>
            <w:tcW w:type="dxa" w:w="17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追蹤4–5分</w:t>
            </w:r>
          </w:p>
        </w:tc>
        <w:tc>
          <w:tcPr>
            <w:tcW w:type="dxa" w:w="17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正向率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第1題能力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2.50（8）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4.00（8）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+1.50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6／8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75.0%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第2題應用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1.75（8）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3.13（8）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+1.38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3／8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37.5%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第3題成果自評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2.57（7配對）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3.57（7配對）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+1.00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4／7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57.1%</w:t>
            </w:r>
          </w:p>
        </w:tc>
      </w:tr>
    </w:tbl>
    <w:p>
      <w:pPr>
        <w:spacing w:after="0" w:line="20" w:lineRule="exact"/>
      </w:pPr>
    </w:p>
    <w:p>
      <w:pPr>
        <w:spacing w:after="40" w:line="240" w:lineRule="auto"/>
      </w:pPr>
      <w:r>
        <w:rPr>
          <w:rFonts w:ascii="Microsoft JhengHei" w:hAnsi="Microsoft JhengHei" w:eastAsia="Microsoft JhengHei"/>
          <w:b/>
          <w:color w:val="1F4E79"/>
          <w:sz w:val="18"/>
        </w:rPr>
        <w:t>【模擬演算比較表】分項前後平均與正向率；精確分數及顯示位數均列出。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64"/>
        <w:gridCol w:w="2064"/>
        <w:gridCol w:w="2064"/>
        <w:gridCol w:w="2064"/>
        <w:gridCol w:w="2064"/>
      </w:tblGrid>
      <w:tr>
        <w:trPr>
          <w:tblHeader/>
        </w:trPr>
        <w:tc>
          <w:tcPr>
            <w:tcW w:type="dxa" w:w="1417"/>
            <w:vAlign w:val="center"/>
            <w:shd w:fill="D9EAF7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模擬構面／配對N</w:t>
            </w:r>
          </w:p>
        </w:tc>
        <w:tc>
          <w:tcPr>
            <w:tcW w:type="dxa" w:w="2041"/>
            <w:vAlign w:val="center"/>
            <w:shd w:fill="D9EAF7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訓前：總分 ÷ N = 平均</w:t>
            </w:r>
          </w:p>
        </w:tc>
        <w:tc>
          <w:tcPr>
            <w:tcW w:type="dxa" w:w="2154"/>
            <w:vAlign w:val="center"/>
            <w:shd w:fill="D9EAF7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追蹤：總分 ÷ N = 平均</w:t>
            </w:r>
          </w:p>
        </w:tc>
        <w:tc>
          <w:tcPr>
            <w:tcW w:type="dxa" w:w="1757"/>
            <w:vAlign w:val="center"/>
            <w:shd w:fill="D9EAF7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追蹤−訓前：平均差</w:t>
            </w:r>
          </w:p>
        </w:tc>
        <w:tc>
          <w:tcPr>
            <w:tcW w:type="dxa" w:w="2268"/>
            <w:vAlign w:val="center"/>
            <w:shd w:fill="D9EAF7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追蹤4–5分：人數 ÷ N = 正向率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第1題 能力／8</w:t>
            </w:r>
          </w:p>
        </w:tc>
        <w:tc>
          <w:tcPr>
            <w:tcW w:type="dxa" w:w="2041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20 ÷ 8 = 2.500（2.50）</w:t>
            </w:r>
          </w:p>
        </w:tc>
        <w:tc>
          <w:tcPr>
            <w:tcW w:type="dxa" w:w="2154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32 ÷ 8 = 4.000（4.00）</w:t>
            </w:r>
          </w:p>
        </w:tc>
        <w:tc>
          <w:tcPr>
            <w:tcW w:type="dxa" w:w="175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1.500（1.50）</w:t>
            </w:r>
          </w:p>
        </w:tc>
        <w:tc>
          <w:tcPr>
            <w:tcW w:type="dxa" w:w="226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6 ÷ 8 = 75.0%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第2題 應用／8</w:t>
            </w:r>
          </w:p>
        </w:tc>
        <w:tc>
          <w:tcPr>
            <w:tcW w:type="dxa" w:w="2041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14 ÷ 8 = 1.750（1.75）</w:t>
            </w:r>
          </w:p>
        </w:tc>
        <w:tc>
          <w:tcPr>
            <w:tcW w:type="dxa" w:w="2154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25 ÷ 8 = 3.125（3.13）</w:t>
            </w:r>
          </w:p>
        </w:tc>
        <w:tc>
          <w:tcPr>
            <w:tcW w:type="dxa" w:w="175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11 ÷ 8 = 1.375（1.38）</w:t>
            </w:r>
          </w:p>
        </w:tc>
        <w:tc>
          <w:tcPr>
            <w:tcW w:type="dxa" w:w="226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3 ÷ 8 = 37.5%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第3題 成果自評／7</w:t>
            </w:r>
          </w:p>
        </w:tc>
        <w:tc>
          <w:tcPr>
            <w:tcW w:type="dxa" w:w="2041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18 ÷ 7 = 2.571428…（2.57）</w:t>
            </w:r>
          </w:p>
        </w:tc>
        <w:tc>
          <w:tcPr>
            <w:tcW w:type="dxa" w:w="2154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25 ÷ 7 = 3.571428…（3.57）</w:t>
            </w:r>
          </w:p>
        </w:tc>
        <w:tc>
          <w:tcPr>
            <w:tcW w:type="dxa" w:w="175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1.000（1.00）</w:t>
            </w:r>
          </w:p>
        </w:tc>
        <w:tc>
          <w:tcPr>
            <w:tcW w:type="dxa" w:w="2268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4 ÷ 7 = 57.1%</w:t>
            </w:r>
          </w:p>
        </w:tc>
      </w:tr>
    </w:tbl>
    <w:p>
      <w:pPr>
        <w:spacing w:after="40" w:line="240" w:lineRule="auto"/>
      </w:pPr>
      <w:r>
        <w:rPr>
          <w:rFonts w:ascii="Microsoft JhengHei" w:hAnsi="Microsoft JhengHei" w:eastAsia="Microsoft JhengHei"/>
          <w:sz w:val="16"/>
        </w:rPr>
        <w:t>計算說明：差值先用未四捨五入平均數計算，再顯示至小數二位；百分比顯示至小數一位。第2題 目標差距為 3.125 − 3.50 = −0.375，顯示 −0.38 分。</w:t>
      </w:r>
    </w:p>
    <w:p>
      <w:pPr>
        <w:spacing w:after="0" w:line="20" w:lineRule="exact"/>
      </w:pP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/>
          <w:b/>
          <w:color w:val="1F4E79"/>
          <w:sz w:val="30"/>
        </w:rPr>
        <w:t>十 模擬目標差距與追蹤編碼</w:t>
      </w:r>
    </w:p>
    <w:p>
      <w:pPr>
        <w:spacing w:after="40" w:line="240" w:lineRule="auto"/>
      </w:pPr>
      <w:r>
        <w:rPr>
          <w:rFonts w:ascii="Microsoft JhengHei" w:hAnsi="Microsoft JhengHei" w:eastAsia="Microsoft JhengHei"/>
          <w:b w:val="0"/>
          <w:sz w:val="18"/>
        </w:rPr>
        <w:t>下列目標是演算用假設，不是官方門檻、協會決議或已採用指標。真實調查應在發送前確認門檻並留來源位置。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/>
        </w:trPr>
        <w:tc>
          <w:tcPr>
            <w:tcW w:type="dxa" w:w="204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指標</w:t>
            </w:r>
          </w:p>
        </w:tc>
        <w:tc>
          <w:tcPr>
            <w:tcW w:type="dxa" w:w="204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模擬目標</w:t>
            </w:r>
          </w:p>
        </w:tc>
        <w:tc>
          <w:tcPr>
            <w:tcW w:type="dxa" w:w="204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模擬結果</w:t>
            </w:r>
          </w:p>
        </w:tc>
        <w:tc>
          <w:tcPr>
            <w:tcW w:type="dxa" w:w="204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差距</w:t>
            </w:r>
          </w:p>
        </w:tc>
        <w:tc>
          <w:tcPr>
            <w:tcW w:type="dxa" w:w="204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示例處理</w:t>
            </w:r>
          </w:p>
        </w:tc>
      </w:tr>
      <w:tr>
        <w:trPr>
          <w:cantSplit/>
        </w:trPr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回收率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75.0%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80.0%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+5.0百分點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達假設門檻；仍列小樣本與未回覆限制。</w:t>
            </w:r>
          </w:p>
        </w:tc>
      </w:tr>
      <w:tr>
        <w:trPr>
          <w:cantSplit/>
        </w:trPr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第1題追蹤平均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4.00分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4.00分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0.00分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達假設門檻；差值為回溯自評。</w:t>
            </w:r>
          </w:p>
        </w:tc>
      </w:tr>
      <w:tr>
        <w:trPr>
          <w:cantSplit/>
        </w:trPr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第2題追蹤平均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3.50分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3.125分（顯示3.13分）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−0.375分（顯示−0.38分）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低於假設門檻；先釐清真實應用障礙。</w:t>
            </w:r>
          </w:p>
        </w:tc>
      </w:tr>
      <w:tr>
        <w:trPr>
          <w:cantSplit/>
        </w:trPr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第3題追蹤正向率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70.0%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57.1%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−12.9百分點</w:t>
            </w:r>
          </w:p>
        </w:tc>
        <w:tc>
          <w:tcPr>
            <w:tcW w:type="dxa" w:w="204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無客觀資料，不稱工作績效已改善。</w:t>
            </w:r>
          </w:p>
        </w:tc>
      </w:tr>
    </w:tbl>
    <w:p>
      <w:pPr>
        <w:spacing w:after="0" w:line="20" w:lineRule="exact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/>
        </w:trPr>
        <w:tc>
          <w:tcPr>
            <w:tcW w:type="dxa" w:w="255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5"/>
              </w:rPr>
              <w:t>模擬代碼</w:t>
            </w:r>
          </w:p>
        </w:tc>
        <w:tc>
          <w:tcPr>
            <w:tcW w:type="dxa" w:w="255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5"/>
              </w:rPr>
              <w:t>模擬觀察</w:t>
            </w:r>
          </w:p>
        </w:tc>
        <w:tc>
          <w:tcPr>
            <w:tcW w:type="dxa" w:w="255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5"/>
              </w:rPr>
              <w:t>追蹤碼</w:t>
            </w:r>
          </w:p>
        </w:tc>
        <w:tc>
          <w:tcPr>
            <w:tcW w:type="dxa" w:w="255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5"/>
              </w:rPr>
              <w:t>示例處理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樣本04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第2題追蹤分數2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使用頻率偏低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只標待釐清障礙；真實聯繫須依同意及紀錄。</w:t>
            </w:r>
          </w:p>
        </w:tc>
      </w:tr>
      <w:tr>
        <w:trPr>
          <w:cantSplit/>
        </w:trPr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樣本08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第3題追蹤缺答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題目缺答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不納入逐題分母；不補值、不推估。</w:t>
            </w:r>
          </w:p>
        </w:tc>
      </w:tr>
    </w:tbl>
    <w:p>
      <w:pPr>
        <w:spacing w:after="0" w:line="20" w:lineRule="exact"/>
      </w:pPr>
    </w:p>
    <w:p>
      <w:pPr>
        <w:spacing w:after="40" w:line="240" w:lineRule="auto"/>
      </w:pPr>
      <w:r>
        <w:rPr>
          <w:rFonts w:ascii="Microsoft JhengHei" w:hAnsi="Microsoft JhengHei" w:eastAsia="Microsoft JhengHei"/>
          <w:b w:val="0"/>
          <w:sz w:val="18"/>
        </w:rPr>
        <w:t>若真實資料顯示應用頻率偏低，先核實工作機會與障礙，再由實際責任角色決定是否調整；若成果只有自評，維持自評表述並補查可追溯來源。本例沒有實際改善決議、責任人、期限或驗證結果。</w:t>
      </w: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/>
          <w:b/>
          <w:color w:val="1F4E79"/>
          <w:sz w:val="30"/>
        </w:rPr>
        <w:t>十一 指標17d：訓後成果評估 證據追溯與位置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rPr>
          <w:tblHeader/>
        </w:trPr>
        <w:tc>
          <w:tcPr>
            <w:tcW w:type="dxa" w:w="17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要求</w:t>
            </w:r>
          </w:p>
        </w:tc>
        <w:tc>
          <w:tcPr>
            <w:tcW w:type="dxa" w:w="17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資料來源</w:t>
            </w:r>
          </w:p>
        </w:tc>
        <w:tc>
          <w:tcPr>
            <w:tcW w:type="dxa" w:w="17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欄位／指標</w:t>
            </w:r>
          </w:p>
        </w:tc>
        <w:tc>
          <w:tcPr>
            <w:tcW w:type="dxa" w:w="17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結果／狀態</w:t>
            </w:r>
          </w:p>
        </w:tc>
        <w:tc>
          <w:tcPr>
            <w:tcW w:type="dxa" w:w="17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證據位置</w:t>
            </w:r>
          </w:p>
        </w:tc>
        <w:tc>
          <w:tcPr>
            <w:tcW w:type="dxa" w:w="17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覆核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「訓後調查表。」官方第17d項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官方檢核表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本文件第1題–第6題、量尺及回收控制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提供空白工具；無實際施測紀錄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官方PDF第6頁；本文件第3至5節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□尚待補入正式原始資料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對象與期間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真實班次名冊、結訓紀錄、問卷版本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母體N、可回覆N、結訓日、窗口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均尚待補入正式原始資料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名冊、結訓紀錄及問卷路徑待補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□尚待補入正式原始資料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發送與回收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邀請、提醒及原始回覆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有效回覆N、回收率、逐題N、排除理由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目前沒有真實回覆；示例為模擬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原始檔名、位置、版本待補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□尚待補入正式原始資料</w:t>
            </w:r>
          </w:p>
        </w:tc>
      </w:tr>
    </w:tbl>
    <w:p>
      <w:pPr>
        <w:pStyle w:val="Caption"/>
        <w:keepNext/>
        <w:pageBreakBefore/>
      </w:pPr>
      <w:r>
        <w:t>續表｜分項結果、改善及工作成效的查核欄位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rPr>
          <w:tblHeader/>
        </w:trPr>
        <w:tc>
          <w:tcPr>
            <w:tcW w:type="dxa" w:w="17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要求</w:t>
            </w:r>
          </w:p>
        </w:tc>
        <w:tc>
          <w:tcPr>
            <w:tcW w:type="dxa" w:w="17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資料來源</w:t>
            </w:r>
          </w:p>
        </w:tc>
        <w:tc>
          <w:tcPr>
            <w:tcW w:type="dxa" w:w="17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欄位／指標</w:t>
            </w:r>
          </w:p>
        </w:tc>
        <w:tc>
          <w:tcPr>
            <w:tcW w:type="dxa" w:w="17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結果／狀態</w:t>
            </w:r>
          </w:p>
        </w:tc>
        <w:tc>
          <w:tcPr>
            <w:tcW w:type="dxa" w:w="17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證據位置</w:t>
            </w:r>
          </w:p>
        </w:tc>
        <w:tc>
          <w:tcPr>
            <w:tcW w:type="dxa" w:w="17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4"/>
              </w:rPr>
              <w:t>覆核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分項結果與改善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去識別分析表及預設門檻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平均、正向率、差值、目標差距、追蹤碼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目前沒有實際結果或決策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分析檔、決策紀錄、責任角色與期限待補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□尚待補入正式原始資料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工作或組織效果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同期紀錄或可核對佐證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指標、期間、單位、前後值、來源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沒有原始成果或第三方佐證；不作實績宣稱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真實來源與檔案位置待補；自陳非客觀驗證</w:t>
            </w:r>
          </w:p>
        </w:tc>
        <w:tc>
          <w:tcPr>
            <w:tcW w:type="dxa" w:w="17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□尚待補入正式原始資料</w:t>
            </w:r>
          </w:p>
        </w:tc>
      </w:tr>
    </w:tbl>
    <w:p>
      <w:pPr>
        <w:spacing w:after="0" w:line="20" w:lineRule="exact"/>
      </w:pPr>
    </w:p>
    <w:p>
      <w:pPr>
        <w:spacing w:after="40" w:line="240" w:lineRule="auto"/>
      </w:pPr>
      <w:r>
        <w:rPr>
          <w:rFonts w:ascii="Microsoft JhengHei" w:hAnsi="Microsoft JhengHei" w:eastAsia="Microsoft JhengHei"/>
          <w:b w:val="0"/>
          <w:sz w:val="18"/>
        </w:rPr>
        <w:t>官方來源：TTQS查核佐證文件資料表（訓練機構版），第6頁；本稿依已核實的來源摘錄編製。</w:t>
      </w: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/>
          <w:b/>
          <w:color w:val="1F4E79"/>
          <w:sz w:val="30"/>
        </w:rPr>
        <w:t>十二 真實資料升格前檢核與缺口</w:t>
      </w:r>
    </w:p>
    <w:p>
      <w:pPr>
        <w:spacing w:after="40" w:line="240" w:lineRule="auto"/>
      </w:pPr>
      <w:r>
        <w:rPr>
          <w:rFonts w:ascii="Microsoft JhengHei" w:hAnsi="Microsoft JhengHei" w:eastAsia="Microsoft JhengHei"/>
          <w:b w:val="0"/>
          <w:sz w:val="18"/>
        </w:rPr>
        <w:t>填寫或引用為 真實資料 前，補齊真實日期、人名與角色、核准或簽章、班次與課程、實際數據與比例、原始附件及檔案位置。來源不足的欄位維持「尚待補入正式原始資料」；所有模擬數值與代碼另列同目錄 合成示例_合成示例替換清冊。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/>
        </w:trPr>
        <w:tc>
          <w:tcPr>
            <w:tcW w:type="dxa" w:w="34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6"/>
              </w:rPr>
              <w:t>待補資料</w:t>
            </w:r>
          </w:p>
        </w:tc>
        <w:tc>
          <w:tcPr>
            <w:tcW w:type="dxa" w:w="34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6"/>
              </w:rPr>
              <w:t>目前狀態</w:t>
            </w:r>
          </w:p>
        </w:tc>
        <w:tc>
          <w:tcPr>
            <w:tcW w:type="dxa" w:w="3400"/>
            <w:shd w:fill="D9EAF7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16"/>
              </w:rPr>
              <w:t>需保留來源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班次、課程名稱、結訓日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未提供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課程與結訓原始紀錄及檔案位置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母體、可回覆對象、失聯原因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未提供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版本化名冊及資格判定紀錄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問卷發送、提醒、回覆與有效性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未提供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邀請紀錄、原始問卷、去重及排除說明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逐題分數、缺答、計算及目標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未提供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去識別分析檔、事前門檻及公式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改善決策、責任角色、期限與再驗證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未提供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實際決議／工作紀錄及後續證據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核准、覆核或簽章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未提供</w:t>
            </w:r>
          </w:p>
        </w:tc>
        <w:tc>
          <w:tcPr>
            <w:tcW w:type="dxa" w:w="3400"/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權責人員的真實紀錄</w:t>
            </w:r>
          </w:p>
        </w:tc>
      </w:tr>
    </w:tbl>
    <w:p>
      <w:pPr>
        <w:spacing w:after="0" w:line="20" w:lineRule="exact"/>
      </w:pPr>
    </w:p>
    <w:p>
      <w:pPr>
        <w:spacing w:after="40" w:line="240" w:lineRule="auto"/>
      </w:pPr>
      <w:r>
        <w:rPr>
          <w:rFonts w:ascii="Microsoft JhengHei" w:hAnsi="Microsoft JhengHei" w:eastAsia="Microsoft JhengHei"/>
          <w:b w:val="0"/>
          <w:sz w:val="18"/>
        </w:rPr>
      </w:r>
    </w:p>
    <w:p>
      <w:pPr>
        <w:spacing w:after="40" w:line="240" w:lineRule="auto"/>
      </w:pPr>
      <w:r>
        <w:rPr>
          <w:rFonts w:ascii="Microsoft JhengHei" w:hAnsi="Microsoft JhengHei" w:eastAsia="Microsoft JhengHei"/>
          <w:b w:val="0"/>
          <w:sz w:val="18"/>
        </w:rPr>
        <w:t>文件狀態：合成示例草稿；真實原始資料尚待補入。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1906" w:h="16838"/>
      <w:pgMar w:top="794" w:right="794" w:bottom="794" w:left="794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646464"/>
        <w:sz w:val="16"/>
      </w:rPr>
      <w:t>版本 合成示範稿｜第  頁</w:t>
    </w:r>
    <w:fldSimple w:instr="PAGE"/>
    <w:r>
      <w:rPr>
        <w:rFonts w:ascii="Microsoft JhengHei" w:hAnsi="Microsoft JhengHei" w:eastAsia="Microsoft JhengHei"/>
        <w:color w:val="646464"/>
        <w:sz w:val="16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/>
        <w:color w:val="9C0006"/>
        <w:sz w:val="16"/>
      </w:rPr>
      <w:t>工作稿｜含模擬演算；不得作為協會實際成果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Microsoft JhengHei" w:hAnsi="Microsoft JhengHei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000000"/>
      <w:spacing w:val="5"/>
      <w:kern w:val="28"/>
      <w:sz w:val="52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JhengHei" w:hAnsi="Microsoft JhengHei" w:eastAsia="Microsoft Jheng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指標17d：訓後成果追蹤</dc:title>
  <dc:subject>可讀性修訂工作稿；真實狀態與原始證據界線依正文標示</dc:subject>
  <dc:creator>python-docx</dc:creator>
  <cp:keywords>TTQS, I17D-E01, 訓後調查, 模擬示例; sequence_id=0087; requirement_id=I17D-E01; source_candidate_sha256=1d1685498b7fa302be9d8d8414502f6c6ffc8a906df7cbac624b3362f9f6ce09</cp:keywords>
  <dc:description>可讀性修訂：管理版本與製作雜湊詳見工作區回執。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