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指標17b_訓後學員職涯規劃建議表</w:t>
      </w:r>
    </w:p>
    <w:p>
      <w:pPr>
        <w:jc w:val="center"/>
      </w:pPr>
      <w:r>
        <w:rPr>
          <w:b/>
          <w:color w:val="1F4E79"/>
        </w:rPr>
        <w:t>I17B-E01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0079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I17B-E01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考試紀錄、學員心得報告、照片與紀錄、訓後學員職涯規劃建議表。」。其文件類型為：複合學習評估證據包（考試／心得／照片／職涯建議）。本件只回應此一證據用途；關聯文件以序號交叉引用，不重複主張其他指標的事實。</w:t>
      </w:r>
    </w:p>
    <w:p>
      <w:pPr>
        <w:pStyle w:val="Heading1"/>
        <w:keepNext/>
      </w:pPr>
      <w:r>
        <w:t>規劃範例</w:t>
      </w:r>
    </w:p>
    <w:p>
      <w:pPr>
        <w:spacing w:after="100"/>
      </w:pPr>
      <w:r>
        <w:t>以下以虛構代碼 S01 示範職涯規劃面談欄位。可討論的方向包括健康教育活動助教、服務流程協力、個人持續學習或暫不轉職；不得保證就業、薪資或證照。實際建議須依本人興趣、資格、當地職缺及法規核對。</w:t>
      </w:r>
    </w:p>
    <w:p>
      <w:pPr>
        <w:pStyle w:val="Heading1"/>
        <w:keepNext/>
      </w:pPr>
      <w:r>
        <w:t>追蹤原則</w:t>
      </w:r>
    </w:p>
    <w:p>
      <w:pPr>
        <w:spacing w:after="100"/>
      </w:pPr>
      <w:r>
        <w:t>取得學員同意後於約定時間追蹤目標行動與障礙；不蒐集與教育目的無關的敏感資訊。建議紀錄與就業證明分開管理，外部佐證仍由出具者提供。</w:t>
      </w:r>
    </w:p>
    <w:p>
      <w:pPr>
        <w:pStyle w:val="Heading1"/>
        <w:keepNext/>
      </w:pPr>
      <w:r>
        <w:t>訓後職涯規劃個案（虛構代碼）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面談欄位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示範內容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真實資料替換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學員代碼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S01（虛構）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改用真實且受控代碼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自述興趣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健康教育助教或持續進修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由本人說明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既有資格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未填；不可推定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查驗原件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近期行動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蒐集適合課程與服務範圍資訊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由本人選定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可能障礙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時間、資格與交通需個別評估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本人確認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建議與選項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先完成適用法規與資格查詢，再決定是否投入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依真實職涯目標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追蹤安排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待雙方同意後訂定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不得承諾就業或收入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職涯建議覆核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覆核項目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判斷原則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結果記錄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意願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建議須符合學員自選目標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待面談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資格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不得暗示未取得證照或資格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待原件查驗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職務資訊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引用可核對的職缺或制度來源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待取得來源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後續同意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追蹤頻率與資料用途先告知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待取得同意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I17B-E01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考試紀錄、學員心得報告、照片與紀錄、訓後學員職涯規劃建議表。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本文件第0079號；原始來源與附件以核實後登錄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本節「評估目的/層級」限定處理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I17B-E01官方要求的直接回應與適用情境</w:t>
      </w:r>
    </w:p>
    <w:p>
      <w:r>
        <w:t>本節逐字對應官方查核佐證資料表第 6 頁要求：「考試紀錄、學員心得報告、照片與紀錄、訓後學員職涯規劃建議表。」。本文件僅提供該項要求所需的文件工作稿與追溯欄位。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正式樣本須明確界定符合條件的對象、邀請管道、抽樣方式、重複回覆處理及未回覆偏差；不同群體分開呈現，避免把便利樣本說成全體市場。</w:t>
      </w:r>
    </w:p>
    <w:p>
      <w:pPr>
        <w:pStyle w:val="Heading2"/>
        <w:keepNext/>
      </w:pPr>
      <w:r>
        <w:t>工具/題目/量尺</w:t>
      </w:r>
    </w:p>
    <w:p>
      <w:r>
        <w:t>量尺應在問卷首頁說明方向與端點，另提供不適用及不確定選項；開放題以匿名方式編碼，避免出現姓名、病史或可辨識個案資料。</w:t>
      </w:r>
    </w:p>
    <w:p>
      <w:pPr>
        <w:pStyle w:val="Heading2"/>
        <w:keepNext/>
      </w:pPr>
      <w:r>
        <w:t>評分規則</w:t>
      </w:r>
    </w:p>
    <w:p>
      <w:r>
        <w:t>本節「評分規則」限定處理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執行與回收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原始結果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統計與解讀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弱項/建議</w:t>
      </w:r>
    </w:p>
    <w:p>
      <w:r>
        <w:t>本節「弱項/建議」限定處理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提案需經需求、師資資格、教材安全、場地設備、法規範圍與成本審查；未通過門檻時記錄暫緩原因及補件責任，不以需求高分直接開課。</w:t>
      </w:r>
    </w:p>
    <w:p>
      <w:pPr>
        <w:pStyle w:val="Heading2"/>
        <w:keepNext/>
      </w:pPr>
      <w:r>
        <w:t>I17B-E01真實升格檢核與替換清單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