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/>
      </w:pPr>
      <w:r>
        <w:rPr>
          <w:rFonts w:ascii="Microsoft JhengHei" w:hAnsi="Microsoft JhengHei" w:eastAsia="Microsoft JhengHei"/>
          <w:b/>
          <w:i w:val="0"/>
          <w:color w:val="000000"/>
          <w:sz w:val="46"/>
        </w:rPr>
        <w:t>中長程業務發展策略地圖</w:t>
      </w:r>
    </w:p>
    <w:p>
      <w:pPr>
        <w:keepNext/>
        <w:spacing w:after="120"/>
      </w:pPr>
      <w:r>
        <w:rPr>
          <w:rFonts w:ascii="Microsoft JhengHei" w:hAnsi="Microsoft JhengHei" w:eastAsia="Microsoft JhengHei"/>
          <w:b w:val="0"/>
          <w:i w:val="0"/>
          <w:color w:val="5B6573"/>
          <w:sz w:val="21"/>
        </w:rPr>
        <w:t>社團法人屏東縣原始點關懷協會  |  R4 現行候選稿  |  決策草案・未核定  |  產製日 2026-09-25（不等於核定或生效日）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/>
          <w:i w:val="0"/>
          <w:color w:val="0F6B78"/>
          <w:sz w:val="22"/>
        </w:rPr>
        <w:t xml:space="preserve">策略主張  </w:t>
      </w:r>
      <w:r>
        <w:rPr>
          <w:rFonts w:ascii="Microsoft JhengHei" w:hAnsi="Microsoft JhengHei" w:eastAsia="Microsoft JhengHei"/>
          <w:b/>
          <w:i w:val="0"/>
          <w:color w:val="000000"/>
          <w:sz w:val="22"/>
        </w:rPr>
        <w:t>以健康教育及傳統整復推拿技術為核心，先以需求證據選擇課程，再核對志工可用資源、法規與品質條件；只有在實際收支與紀錄可查時，才判斷訓練收入對會務與公益服務的支持。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>
        <w:trPr>
          <w:cantSplit/>
        </w:trPr>
        <w:tc>
          <w:tcPr>
            <w:tcW w:type="dxa" w:w="276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看見需求</w:t>
            </w:r>
          </w:p>
        </w:tc>
        <w:tc>
          <w:tcPr>
            <w:tcW w:type="dxa" w:w="259"/>
            <w:vAlign w:val="center"/>
            <w:tcMar>
              <w:top w:w="50" w:type="dxa"/>
              <w:start w:w="15" w:type="dxa"/>
              <w:bottom w:w="50" w:type="dxa"/>
              <w:end w:w="15" w:type="dxa"/>
            </w:tcMar>
            <w:shd w:fill="FFFFFF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0F6B78"/>
                <w:sz w:val="28"/>
              </w:rPr>
              <w:t>→</w:t>
            </w:r>
          </w:p>
        </w:tc>
        <w:tc>
          <w:tcPr>
            <w:tcW w:type="dxa" w:w="276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選擇課程</w:t>
            </w:r>
          </w:p>
        </w:tc>
        <w:tc>
          <w:tcPr>
            <w:tcW w:type="dxa" w:w="259"/>
            <w:vAlign w:val="center"/>
            <w:tcMar>
              <w:top w:w="50" w:type="dxa"/>
              <w:start w:w="15" w:type="dxa"/>
              <w:bottom w:w="50" w:type="dxa"/>
              <w:end w:w="15" w:type="dxa"/>
            </w:tcMar>
            <w:shd w:fill="FFFFFF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0F6B78"/>
                <w:sz w:val="28"/>
              </w:rPr>
              <w:t>→</w:t>
            </w:r>
          </w:p>
        </w:tc>
        <w:tc>
          <w:tcPr>
            <w:tcW w:type="dxa" w:w="276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核對能力</w:t>
            </w:r>
          </w:p>
        </w:tc>
        <w:tc>
          <w:tcPr>
            <w:tcW w:type="dxa" w:w="259"/>
            <w:vAlign w:val="center"/>
            <w:tcMar>
              <w:top w:w="50" w:type="dxa"/>
              <w:start w:w="15" w:type="dxa"/>
              <w:bottom w:w="50" w:type="dxa"/>
              <w:end w:w="15" w:type="dxa"/>
            </w:tcMar>
            <w:shd w:fill="FFFFFF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0F6B78"/>
                <w:sz w:val="28"/>
              </w:rPr>
              <w:t>→</w:t>
            </w:r>
          </w:p>
        </w:tc>
        <w:tc>
          <w:tcPr>
            <w:tcW w:type="dxa" w:w="276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穩定運作</w:t>
            </w:r>
          </w:p>
        </w:tc>
        <w:tc>
          <w:tcPr>
            <w:tcW w:type="dxa" w:w="259"/>
            <w:vAlign w:val="center"/>
            <w:tcMar>
              <w:top w:w="50" w:type="dxa"/>
              <w:start w:w="15" w:type="dxa"/>
              <w:bottom w:w="50" w:type="dxa"/>
              <w:end w:w="15" w:type="dxa"/>
            </w:tcMar>
            <w:shd w:fill="FFFFFF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0F6B78"/>
                <w:sz w:val="28"/>
              </w:rPr>
              <w:t>→</w:t>
            </w:r>
          </w:p>
        </w:tc>
        <w:tc>
          <w:tcPr>
            <w:tcW w:type="dxa" w:w="276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回饋會務與公益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  <w:shd w:fill="EAF2F8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先確認實際學習需求與候選客群。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客群輪廓與需求強度待調查。</w:t>
            </w:r>
          </w:p>
        </w:tc>
        <w:tc>
          <w:tcPr>
            <w:tcW w:type="dxa" w:w="2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65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  <w:shd w:fill="E9F3F2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健康教育與傳統整復推拿為核心。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其他課程需有需求與資源依據。</w:t>
            </w:r>
          </w:p>
        </w:tc>
        <w:tc>
          <w:tcPr>
            <w:tcW w:type="dxa" w:w="2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65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  <w:shd w:fill="EAF2F8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逐項檢視志工負荷、法規、品質與成本。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條件不足時先暫緩。</w:t>
            </w:r>
          </w:p>
        </w:tc>
        <w:tc>
          <w:tcPr>
            <w:tcW w:type="dxa" w:w="2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65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  <w:shd w:fill="E9F3F2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將課程選擇、責任分工、實際收支與檢討留有可回查紀錄。</w:t>
            </w:r>
          </w:p>
        </w:tc>
        <w:tc>
          <w:tcPr>
            <w:tcW w:type="dxa" w:w="2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FFFFF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65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  <w:shd w:fill="EAF2F8" w:val="clear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依核實的訓練收入與支出，判斷是否支持會務及公益服務。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目前沒有實績結論。</w:t>
            </w:r>
          </w:p>
        </w:tc>
      </w:tr>
    </w:tbl>
    <w:p>
      <w:pPr>
        <w:pStyle w:val="Heading2"/>
        <w:keepNext/>
        <w:spacing w:before="40" w:after="60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方向如何相連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17"/>
        <w:gridCol w:w="5017"/>
        <w:gridCol w:w="5017"/>
      </w:tblGrid>
      <w:tr>
        <w:trPr>
          <w:cantSplit/>
          <w:tblHeader w:val="true"/>
        </w:trPr>
        <w:tc>
          <w:tcPr>
            <w:tcW w:type="dxa" w:w="501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市場價值</w:t>
            </w:r>
          </w:p>
        </w:tc>
        <w:tc>
          <w:tcPr>
            <w:tcW w:type="dxa" w:w="501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課程能力</w:t>
            </w:r>
          </w:p>
        </w:tc>
        <w:tc>
          <w:tcPr>
            <w:tcW w:type="dxa" w:w="501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營運與公益價值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把需求調查結果轉成可檢視的目標客群與課程優先次序；現有市場需求未經調查，不先描述客群規模。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先深化已提供背景所列的健康教育與傳統整復推拿技術；新增課程先經需求、資源、法規及品質審視。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志工與經費有限，課程規劃應保持最低必要行政負擔；任何收入或公益支出成效均以實際憑證與紀錄核實。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F6B78"/>
          <w:left w:val="single" w:sz="4" w:space="0" w:color="0F6B78"/>
          <w:bottom w:val="single" w:sz="4" w:space="0" w:color="0F6B78"/>
          <w:right w:val="single" w:sz="4" w:space="0" w:color="0F6B78"/>
          <w:insideH w:val="single" w:sz="4" w:space="0" w:color="0F6B78"/>
          <w:insideV w:val="single" w:sz="4" w:space="0" w:color="0F6B78"/>
        </w:tblBorders>
      </w:tblPr>
      <w:tblGrid>
        <w:gridCol w:w="3024"/>
      </w:tblGrid>
      <w:tr>
        <w:tc>
          <w:tcPr>
            <w:tcW w:type="dxa" w:w="3024"/>
            <w:shd w:fill="0F6B78" w:val="clea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現況起點｜依使用者提供的協會背景資料</w:t>
            </w:r>
          </w:p>
        </w:tc>
      </w:tr>
    </w:tbl>
    <w:p>
      <w:pPr>
        <w:spacing w:after="0"/>
      </w:pP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協會目前沒有專職人員，工作主要由志工執行；人力與經費有限。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核心領域為健康教育與傳統整復推拿技術；其他課程只有在實際市場需求、可用資源、法規及品質條件支持時才逐門評估。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正式使命文字、章程內容、目標客群、營運實績及課程收入尚須由協會原始資料確認；本圖不代表已核定方向或已發生成果。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18"/>
        </w:rPr>
        <w:t>若市場證據不足，先補調查；若志工負荷、法規或品質條件未確認，不擴充課程；若未取得收支原始資料，不宣稱訓練收入已支應會務或公益。</w:t>
      </w:r>
    </w:p>
    <w:p>
      <w:r>
        <w:br w:type="page"/>
      </w:r>
    </w:p>
    <w:p>
      <w:pPr>
        <w:pStyle w:val="Title"/>
        <w:keepNext/>
        <w:spacing w:after="60"/>
      </w:pPr>
      <w:r>
        <w:rPr>
          <w:rFonts w:ascii="Microsoft JhengHei" w:hAnsi="Microsoft JhengHei" w:eastAsia="Microsoft JhengHei"/>
          <w:b/>
          <w:i w:val="0"/>
          <w:color w:val="000000"/>
          <w:sz w:val="46"/>
        </w:rPr>
        <w:t>策略主軸與分期路徑</w:t>
      </w:r>
    </w:p>
    <w:p>
      <w:pPr>
        <w:keepNext/>
        <w:spacing w:after="120"/>
      </w:pPr>
      <w:r>
        <w:rPr>
          <w:rFonts w:ascii="Microsoft JhengHei" w:hAnsi="Microsoft JhengHei" w:eastAsia="Microsoft JhengHei"/>
          <w:b w:val="0"/>
          <w:i w:val="0"/>
          <w:color w:val="5B6573"/>
          <w:sz w:val="21"/>
        </w:rPr>
        <w:t>先確立需求與可行條件，再決定課程組合；所有階段都是待討論的規劃內容。</w:t>
      </w:r>
    </w:p>
    <w:p>
      <w:pPr>
        <w:pStyle w:val="Heading1"/>
        <w:keepNext/>
        <w:spacing w:before="80" w:after="80"/>
      </w:pPr>
      <w:r>
        <w:rPr>
          <w:rFonts w:ascii="Microsoft JhengHei" w:hAnsi="Microsoft JhengHei" w:eastAsia="Microsoft JhengHei"/>
          <w:b/>
          <w:i w:val="0"/>
          <w:color w:val="000000"/>
          <w:sz w:val="32"/>
        </w:rPr>
        <w:t>三項策略主軸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763"/>
        <w:gridCol w:w="3763"/>
        <w:gridCol w:w="3763"/>
        <w:gridCol w:w="3763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策略軸</w:t>
            </w:r>
          </w:p>
        </w:tc>
        <w:tc>
          <w:tcPr>
            <w:tcW w:type="dxa" w:w="36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方向選擇</w:t>
            </w:r>
          </w:p>
        </w:tc>
        <w:tc>
          <w:tcPr>
            <w:tcW w:type="dxa" w:w="439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需要的證據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決策邊界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核心領域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以健康教育與傳統整復推拿技術為主要課程方向。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實際需求資料；課程目的與協會核心定位的連結。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需求與課程品質尚未確認前，不宣稱已形成穩定招生市場。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需求帶動的延伸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其他課程逐門評估，不以熱門或外部案例替代本會需求。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客群與需求依據；志工負荷、法規與品質檢核；費用與成本來源。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四項條件不足時採暫緩或不辦；不先承諾開課。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志工可承擔的營運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採最低必要行政負擔，讓課程決策、執行與檢討能留下可回查紀錄。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實際分工、可用時間與經費；資料保管及檢討責任由協會指定。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不得以未查證人名、職務或核定紀錄填補責任欄。</w:t>
            </w:r>
          </w:p>
        </w:tc>
      </w:tr>
    </w:tbl>
    <w:p>
      <w:pPr>
        <w:pStyle w:val="Heading1"/>
        <w:keepNext/>
        <w:spacing w:before="80" w:after="80"/>
      </w:pPr>
      <w:r>
        <w:rPr>
          <w:rFonts w:ascii="Microsoft JhengHei" w:hAnsi="Microsoft JhengHei" w:eastAsia="Microsoft JhengHei"/>
          <w:b/>
          <w:i w:val="0"/>
          <w:color w:val="000000"/>
          <w:sz w:val="32"/>
        </w:rPr>
        <w:t>SIMULATED｜三年策略討論框架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19"/>
        </w:rPr>
        <w:t>以下「三個規劃年度」及分期安排是本次草案的 SIMULATED 討論框架，尚未形成協會決議；未填入日曆年度、起訖日期或實績。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763"/>
        <w:gridCol w:w="3763"/>
        <w:gridCol w:w="3763"/>
        <w:gridCol w:w="3763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SIMULATED階段</w:t>
            </w:r>
          </w:p>
        </w:tc>
        <w:tc>
          <w:tcPr>
            <w:tcW w:type="dxa" w:w="36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工作重點</w:t>
            </w:r>
          </w:p>
        </w:tc>
        <w:tc>
          <w:tcPr>
            <w:tcW w:type="dxa" w:w="49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應留下的決策證據</w:t>
            </w:r>
          </w:p>
        </w:tc>
        <w:tc>
          <w:tcPr>
            <w:tcW w:type="dxa" w:w="394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升階條件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第 1 年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建立需求、資源、法規與品質的基線；由協會選定實際的目標客群描述與策略期間。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經核實的調查/資源資料、基準值來源及待補清單；正式期間與權責仍待決定。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市場訊號可追溯，且可用人力、費用及必要品質條件有資料支持。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第 2 年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只就通過條件審視的核心或延伸課程，作出是否規劃的選擇。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課程選擇理由、資源估算、合規與品質審查、核決及實際來源位置。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各項條件均有可查依據；未通過者維持暫緩。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第 3 年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依累積證據檢視課程組合與資源對會務/公益支持的合理性。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比較基準與實績、修訂理由、持續/調整/停止決定及核定紀錄。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取得真實營運及財務原始資料後才能作成效判讀。</w:t>
            </w:r>
          </w:p>
        </w:tc>
      </w:tr>
    </w:tbl>
    <w:p>
      <w:pPr>
        <w:pStyle w:val="Heading2"/>
        <w:keepNext/>
        <w:spacing w:before="40" w:after="60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課程採擇的四道檢核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763"/>
        <w:gridCol w:w="3763"/>
        <w:gridCol w:w="3763"/>
        <w:gridCol w:w="3763"/>
      </w:tblGrid>
      <w:tr>
        <w:trPr>
          <w:cantSplit/>
          <w:tblHeader w:val="true"/>
        </w:trPr>
        <w:tc>
          <w:tcPr>
            <w:tcW w:type="dxa" w:w="37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市場需求</w:t>
            </w:r>
          </w:p>
        </w:tc>
        <w:tc>
          <w:tcPr>
            <w:tcW w:type="dxa" w:w="37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志工與資源</w:t>
            </w:r>
          </w:p>
        </w:tc>
        <w:tc>
          <w:tcPr>
            <w:tcW w:type="dxa" w:w="37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法規與品質</w:t>
            </w:r>
          </w:p>
        </w:tc>
        <w:tc>
          <w:tcPr>
            <w:tcW w:type="dxa" w:w="37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成本與使命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客群、需求內容與資料來源可追溯；目標門檻待協會設定。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任務、可用時間與經費容量由協會核對；不足時先不排入。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課程範圍及品質條件先確認；不確定項目留待查明。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以真實成本、收入資料及協會支持會務/公益的決策作判斷。</w:t>
            </w:r>
          </w:p>
        </w:tc>
      </w:tr>
    </w:tbl>
    <w:p>
      <w:pPr>
        <w:spacing w:after="20" w:line="269" w:lineRule="auto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>決策欄位（待協會填寫）：採行 / 暫緩 / 不採行；理由；負責角色；核決紀錄日期；原始資料位置。</w:t>
      </w:r>
    </w:p>
    <w:p>
      <w:r>
        <w:br w:type="page"/>
      </w:r>
    </w:p>
    <w:p>
      <w:pPr>
        <w:pStyle w:val="Title"/>
        <w:keepNext/>
        <w:spacing w:after="60"/>
      </w:pPr>
      <w:r>
        <w:rPr>
          <w:rFonts w:ascii="Microsoft JhengHei" w:hAnsi="Microsoft JhengHei" w:eastAsia="Microsoft JhengHei"/>
          <w:b/>
          <w:i w:val="0"/>
          <w:color w:val="000000"/>
          <w:sz w:val="46"/>
        </w:rPr>
        <w:t>目標指標、資料來源與檢討</w:t>
      </w:r>
    </w:p>
    <w:p>
      <w:pPr>
        <w:keepNext/>
        <w:spacing w:after="120"/>
      </w:pPr>
      <w:r>
        <w:rPr>
          <w:rFonts w:ascii="Microsoft JhengHei" w:hAnsi="Microsoft JhengHei" w:eastAsia="Microsoft JhengHei"/>
          <w:b w:val="0"/>
          <w:i w:val="0"/>
          <w:color w:val="5B6573"/>
          <w:sz w:val="21"/>
        </w:rPr>
        <w:t>候選指標用來把策略轉成可檢視的管理問題；基準、目標與責任尚待協會決定。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4" w:space="0" w:color="17365D"/>
          <w:insideV w:val="single" w:sz="4" w:space="0" w:color="17365D"/>
        </w:tblBorders>
      </w:tblPr>
      <w:tblGrid>
        <w:gridCol w:w="3024"/>
      </w:tblGrid>
      <w:tr>
        <w:tc>
          <w:tcPr>
            <w:tcW w:type="dxa" w:w="3024"/>
            <w:shd w:fill="17365D" w:val="clear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候選 KPI 定義｜實際數字與門檻尚未建立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19"/>
        </w:rPr>
        <w:t>下列是規劃欄位，不是協會現況或績效結果。所有基準值、目標值、實際值、資料責任人與檢討頻率均留待真實資料及協會決議填入。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策略成果</w:t>
            </w:r>
          </w:p>
        </w:tc>
        <w:tc>
          <w:tcPr>
            <w:tcW w:type="dxa" w:w="36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候選指標定義</w:t>
            </w:r>
          </w:p>
        </w:tc>
        <w:tc>
          <w:tcPr>
            <w:tcW w:type="dxa" w:w="266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基準 / 目標</w:t>
            </w:r>
          </w:p>
        </w:tc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資料來源</w:t>
            </w:r>
          </w:p>
        </w:tc>
        <w:tc>
          <w:tcPr>
            <w:tcW w:type="dxa" w:w="26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檢討頻率</w:t>
            </w:r>
          </w:p>
        </w:tc>
        <w:tc>
          <w:tcPr>
            <w:tcW w:type="dxa" w:w="151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市場對準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具有可追溯需求依據的課程規劃占全部課程規劃的比率。分母範圍由協會定義。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待調查 / 待決議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市場調查與課程規劃原始資料（尚未提供）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SIMULATED：建議按季檢視訊號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待指定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資源可行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完成志工容量、費用、法規與品質檢核的課程提案占全部提案的比率。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待建基線 / 待決議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分工與工時資料、成本及課程審查紀錄（尚未提供）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SIMULATED：建議按季檢視訊號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待指定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策略檢討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已完成有證據來源的年度策略檢討紀錄占應檢討期間的比率。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待建基線 / 待決議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核實後的檢討紀錄與策略版本（尚未提供）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SIMULATED：建議每規劃年度檢討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待指定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使命支持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可由實際收支資料追溯至會務或公益支用的訓練收入項目比率。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待取財務資料 / 待決議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實際收入、支出憑證及協會支用紀錄（尚未提供）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SIMULATED：建議每規劃年度檢討</w:t>
            </w:r>
          </w:p>
        </w:tc>
        <w:tc>
          <w:tcPr>
            <w:tcW w:type="dxa" w:w="2509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6"/>
              </w:rPr>
              <w:t>待指定</w:t>
            </w:r>
          </w:p>
        </w:tc>
      </w:tr>
    </w:tbl>
    <w:p>
      <w:pPr>
        <w:pStyle w:val="Heading2"/>
        <w:keepNext/>
        <w:spacing w:before="40" w:after="60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計算口徑與缺值處理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526"/>
        <w:gridCol w:w="7526"/>
      </w:tblGrid>
      <w:tr>
        <w:trPr>
          <w:cantSplit/>
          <w:tblHeader w:val="true"/>
        </w:trPr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計算式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使用限制</w:t>
            </w:r>
          </w:p>
        </w:tc>
      </w:tr>
      <w:tr>
        <w:trPr>
          <w:cantSplit/>
        </w:trPr>
        <w:tc>
          <w:tcPr>
            <w:tcW w:type="dxa" w:w="7526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年度 KPI 達成率 = 年度實績 ÷ 年度目標。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年度成長率 =（本年實績 - 前一年實績）÷ 前一年實績。</w:t>
            </w:r>
          </w:p>
        </w:tc>
        <w:tc>
          <w:tcPr>
            <w:tcW w:type="dxa" w:w="7526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8"/>
              </w:rPr>
              <w:t>目標值或前期基準值空缺、為零或口徑不同時，標記「無法計算」，先補資料或修正定義；不得以估值代替實績。</w:t>
            </w:r>
          </w:p>
        </w:tc>
      </w:tr>
    </w:tbl>
    <w:p>
      <w:pPr>
        <w:pStyle w:val="Heading2"/>
        <w:keepNext/>
        <w:spacing w:before="40" w:after="60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檢討觸發與修訂路徑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SIMULATED 建議節奏：按季檢視需求與資源訊號，並於每一規劃年度檢討策略；這不是既有會議制度或已作成決議。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需求不明或變化時，先補來源可追溯的調查；不以外部熱門課程推定本會市場。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志工負荷、成本、法規或品質未通過時，將該課程列為暫緩，並記錄須補資料。</w:t>
      </w:r>
    </w:p>
    <w:p>
      <w:pPr>
        <w:spacing w:after="40" w:line="259" w:lineRule="auto"/>
        <w:ind w:left="259" w:hanging="216"/>
      </w:pPr>
      <w:r>
        <w:rPr>
          <w:rFonts w:ascii="Microsoft JhengHei" w:hAnsi="Microsoft JhengHei" w:eastAsia="Microsoft JhengHei"/>
          <w:b/>
          <w:i w:val="0"/>
          <w:color w:val="0F6B78"/>
          <w:sz w:val="18"/>
        </w:rPr>
        <w:t xml:space="preserve">• </w:t>
      </w:r>
      <w:r>
        <w:rPr>
          <w:rFonts w:ascii="Microsoft JhengHei" w:hAnsi="Microsoft JhengHei" w:eastAsia="Microsoft JhengHei"/>
          <w:b w:val="0"/>
          <w:i w:val="0"/>
          <w:color w:val="000000"/>
          <w:sz w:val="18"/>
        </w:rPr>
        <w:t>財務及公益支持僅在實際原始資料核實後檢討；修訂時保留前後版本、理由與核決依據。</w:t>
      </w:r>
    </w:p>
    <w:p>
      <w:r>
        <w:br w:type="page"/>
      </w:r>
    </w:p>
    <w:p>
      <w:pPr>
        <w:pStyle w:val="Title"/>
        <w:keepNext/>
        <w:spacing w:after="60"/>
      </w:pPr>
      <w:r>
        <w:rPr>
          <w:rFonts w:ascii="Microsoft JhengHei" w:hAnsi="Microsoft JhengHei" w:eastAsia="Microsoft JhengHei"/>
          <w:b/>
          <w:i w:val="0"/>
          <w:color w:val="000000"/>
          <w:sz w:val="46"/>
        </w:rPr>
        <w:t>官方要求對照與真實升格檢核</w:t>
      </w:r>
    </w:p>
    <w:p>
      <w:pPr>
        <w:keepNext/>
        <w:spacing w:after="120"/>
      </w:pPr>
      <w:r>
        <w:rPr>
          <w:rFonts w:ascii="Microsoft JhengHei" w:hAnsi="Microsoft JhengHei" w:eastAsia="Microsoft JhengHei"/>
          <w:b w:val="0"/>
          <w:i w:val="0"/>
          <w:color w:val="5B6573"/>
          <w:sz w:val="21"/>
        </w:rPr>
        <w:t>將策略地圖對回官方指標，並列出草案轉為正式文件前必須補入的原始依據。</w:t>
      </w:r>
    </w:p>
    <w:p>
      <w:pPr>
        <w:pStyle w:val="Heading1"/>
        <w:keepNext/>
        <w:spacing w:before="80" w:after="80"/>
      </w:pPr>
      <w:r>
        <w:rPr>
          <w:rFonts w:ascii="Microsoft JhengHei" w:hAnsi="Microsoft JhengHei" w:eastAsia="Microsoft JhengHei"/>
          <w:b/>
          <w:i w:val="0"/>
          <w:color w:val="000000"/>
          <w:sz w:val="32"/>
        </w:rPr>
        <w:t>要求與本文件段落的對照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763"/>
        <w:gridCol w:w="3763"/>
        <w:gridCol w:w="3763"/>
        <w:gridCol w:w="3763"/>
      </w:tblGrid>
      <w:tr>
        <w:trPr>
          <w:cantSplit/>
          <w:tblHeader w:val="true"/>
        </w:trPr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來源</w:t>
            </w:r>
          </w:p>
        </w:tc>
        <w:tc>
          <w:tcPr>
            <w:tcW w:type="dxa" w:w="49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官方內容 / 適用標準</w:t>
            </w:r>
          </w:p>
        </w:tc>
        <w:tc>
          <w:tcPr>
            <w:tcW w:type="dxa" w:w="324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本文件位置</w:t>
            </w:r>
          </w:p>
        </w:tc>
        <w:tc>
          <w:tcPr>
            <w:tcW w:type="dxa" w:w="301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7365D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目前證據狀態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官方《TTQS 查核佐證文件資料表 - 訓練機構版》附件四十六，第 1 頁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指標 1 要求訂定未來經營方向與營運計畫，並訂定訓練機構定位及目標客戶；建議佐證含「中長程的業務發展規劃策略地圖」。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本圖第 1 頁；策略主軸、分期路徑第 2 頁。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本稿提供規劃結構；協會實際定位、目標客群與核定紀錄待原件。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官方《TTQS 人才發展品質管理評核表 - 訓練機構版》第 1 頁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指標 1 說明訓練單位未來經營方向與營運計畫，以及訓練機構定位與目標客戶的訂定。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策略主張與因果鏈第 1 頁；目標指標及檢討第 3 頁。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沒有以本草案取代實際營運、核決或績效證據。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官方《人才發展品質管理系統標準作業手冊》印刷頁 86（PDF 第 92 頁）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訓練機構版指標 1 的內涵同為未來經營方向/營運計畫與定位/目標客戶。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策略選擇與證據追溯第 1 至 4 頁。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官方標準作為判準；協會事實由原始紀錄補證。</w:t>
            </w:r>
          </w:p>
        </w:tc>
      </w:tr>
      <w:tr>
        <w:trPr>
          <w:cantSplit/>
        </w:trPr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使用者提供《協會背景與資料使用說明》「使用者明確指定」「特別需要真實資料的項目」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協會名稱與核心領域；目前無專職人員、志工為主、人力及經費有限；新課程需逐門檢視需求、資源、法規與品質。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現況起點第 1 頁；策略主軸第 2 頁。</w:t>
            </w:r>
          </w:p>
        </w:tc>
        <w:tc>
          <w:tcPr>
            <w:tcW w:type="dxa" w:w="3763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屬背景說明；章程、分工、實際資源及課程資料仍需原件核實。</w:t>
            </w:r>
          </w:p>
        </w:tc>
      </w:tr>
    </w:tbl>
    <w:p>
      <w:pPr>
        <w:pStyle w:val="Heading1"/>
        <w:keepNext/>
        <w:spacing w:before="80" w:after="80"/>
      </w:pPr>
      <w:r>
        <w:rPr>
          <w:rFonts w:ascii="Microsoft JhengHei" w:hAnsi="Microsoft JhengHei" w:eastAsia="Microsoft JhengHei"/>
          <w:b/>
          <w:i w:val="0"/>
          <w:color w:val="000000"/>
          <w:sz w:val="32"/>
        </w:rPr>
        <w:t>核定前待補原件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17"/>
        <w:gridCol w:w="5017"/>
        <w:gridCol w:w="5017"/>
      </w:tblGrid>
      <w:tr>
        <w:trPr>
          <w:cantSplit/>
          <w:tblHeader w:val="true"/>
        </w:trPr>
        <w:tc>
          <w:tcPr>
            <w:tcW w:type="dxa" w:w="35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待核實項目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需取得的真實依據</w:t>
            </w:r>
          </w:p>
        </w:tc>
        <w:tc>
          <w:tcPr>
            <w:tcW w:type="dxa" w:w="409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0F6B78" w:val="clear"/>
          </w:tcPr>
          <w:p>
            <w:pPr>
              <w:spacing w:after="2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位置 / 結果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正式使命與組織定位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章程、有效立案資料或協會正式對外文件；核對目前草案文字是否與現行宗旨一致。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待補原件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目標客群與市場需求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可追溯的調查回覆、客戶需求或其他原始資料；確認對象、期間、方法及有效資料口徑。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待補原件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正式計畫期間與指標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由協會決定起訖年度、基準來源、年度目標、計算口徑與檢討責任。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待協會決定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課程及資源可行性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實際課程規劃、志工分工與可用時間、費用資料，以及法規與品質條件核對。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待補原件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收入與公益支持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實際收支憑證、帳務及協會支用決策；不得以預期或草案取代實績。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待補原件</w:t>
            </w:r>
          </w:p>
        </w:tc>
      </w:tr>
      <w:tr>
        <w:trPr>
          <w:cantSplit/>
        </w:trPr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核定與公開紀錄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有權決策者、正式會議/核決日期、核定版本、公告方式及可查的檔案位置。</w:t>
            </w:r>
          </w:p>
        </w:tc>
        <w:tc>
          <w:tcPr>
            <w:tcW w:type="dxa" w:w="5017"/>
          </w:tcPr>
          <w:p>
            <w:pPr>
              <w:spacing w:after="2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000000"/>
                <w:sz w:val="17"/>
              </w:rPr>
              <w:t>待核定</w:t>
            </w:r>
          </w:p>
        </w:tc>
      </w:tr>
    </w:tbl>
    <w:p>
      <w:pPr>
        <w:pStyle w:val="Heading2"/>
        <w:keepNext/>
        <w:spacing w:before="40" w:after="60"/>
      </w:pPr>
      <w:r>
        <w:rPr>
          <w:rFonts w:ascii="Microsoft JhengHei" w:hAnsi="Microsoft JhengHei" w:eastAsia="Microsoft JhengHei"/>
          <w:b/>
          <w:i w:val="0"/>
          <w:color w:val="000000"/>
          <w:sz w:val="23"/>
        </w:rPr>
        <w:t>文件版本與使用邊界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/>
          <w:i w:val="0"/>
          <w:color w:val="17365D"/>
          <w:sz w:val="18"/>
        </w:rPr>
        <w:t>R4 / QP002 / QE002  |  現行候選稿  |  人類決策草案  |  未核定。產製日為 2026-09-25；正式核定日、核定者、策略期程、實際目標與資料位置皆未填。此稿只能作為協會審閱與補件底稿，不證明已辦訓、已有市場需求、已產生收入或已支持公益服務。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37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Microsoft JhengHei" w:hAnsi="Microsoft JhengHei" w:eastAsia="Microsoft JhengHei"/>
        <w:b w:val="0"/>
        <w:i w:val="0"/>
        <w:color w:val="5B6573"/>
        <w:sz w:val="16"/>
      </w:rPr>
      <w:t>社團法人屏東縣原始點關懷協會  |  中長程業務發展策略地圖  |  R4 現行候選稿  |  未核定</w:t>
    </w:r>
  </w:p>
  <w:p>
    <w:pPr>
      <w:jc w:val="right"/>
    </w:pPr>
    <w:r>
      <w:rPr>
        <w:rFonts w:ascii="Microsoft JhengHei" w:hAnsi="Microsoft JhengHei" w:eastAsia="Microsoft JhengHei"/>
        <w:b w:val="0"/>
        <w:i w:val="0"/>
        <w:color w:val="5B6573"/>
        <w:sz w:val="16"/>
      </w:rPr>
      <w:t xml:space="preserve">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17365D"/>
        <w:sz w:val="16"/>
      </w:rPr>
      <w:t>R4  |  QP002 / QE002  |  現行候選稿  |  人類決策草案・未核定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| R4 current candidate | human decision draft</dc:subject>
  <dc:creator>R4 document builder</dc:creator>
  <cp:keywords>TTQS; I01-E01; R4; QP002; QE002; 現行候選稿</cp:keywords>
  <dc:description>R4 current candidate. Draft for association review; not approved.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