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ptos" w:hAnsi="Aptos" w:eastAsia="Microsoft JhengHei"/>
          <w:b/>
          <w:i w:val="0"/>
          <w:color w:val="17324D"/>
          <w:sz w:val="44"/>
        </w:rPr>
        <w:t>訓練評估與實施標準作業程序</w:t>
      </w:r>
    </w:p>
    <w:p>
      <w:pPr>
        <w:spacing w:after="200"/>
      </w:pPr>
      <w:r>
        <w:rPr>
          <w:rFonts w:ascii="Aptos" w:hAnsi="Aptos" w:eastAsia="Microsoft JhengHei"/>
          <w:b w:val="0"/>
          <w:i w:val="0"/>
          <w:color w:val="5C6B73"/>
          <w:sz w:val="22"/>
        </w:rPr>
        <w:t>訓練實施依據、評估口徑與紀錄管制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2CC"/>
          <w:left w:val="single" w:sz="0" w:space="0" w:color="FFF2CC"/>
          <w:bottom w:val="single" w:sz="0" w:space="0" w:color="FFF2CC"/>
          <w:right w:val="single" w:sz="0" w:space="0" w:color="FFF2CC"/>
          <w:insideH w:val="single" w:sz="0" w:space="0" w:color="FFF2CC"/>
          <w:insideV w:val="single" w:sz="0" w:space="0" w:color="FFF2CC"/>
        </w:tblBorders>
      </w:tblPr>
      <w:tblGrid>
        <w:gridCol w:w="10037"/>
      </w:tblGrid>
      <w:tr>
        <w:tc>
          <w:tcPr>
            <w:tcW w:type="dxa" w:w="10037"/>
            <w:shd w:fill="FFF2CC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JhengHei"/>
                <w:b/>
                <w:i w:val="0"/>
                <w:color w:val="17324D"/>
                <w:sz w:val="20"/>
              </w:rPr>
              <w:t xml:space="preserve">版本狀態  </w:t>
            </w:r>
            <w:r>
              <w:rPr>
                <w:rFonts w:ascii="Aptos" w:hAnsi="Aptos" w:eastAsia="Microsoft JhengHei"/>
                <w:b w:val="0"/>
                <w:i w:val="0"/>
                <w:color w:val="263746"/>
                <w:sz w:val="20"/>
              </w:rPr>
              <w:t>R4 CURRENT CANDIDATE｜DRAFT_SYNTHETIC｜QP002 / QE002。這是待核准的程序草案；未完成正式核准、生效與公告前，不得作為已生效制度或已執行訓練的證明。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文件識別與生效條件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2880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8"/>
              </w:rPr>
              <w:t>識別欄位</w:t>
            </w:r>
          </w:p>
        </w:tc>
        <w:tc>
          <w:tcPr>
            <w:tcW w:type="dxa" w:w="7128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8"/>
              </w:rPr>
              <w:t>現況／正式使用前填寫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要求與序列</w:t>
            </w:r>
          </w:p>
        </w:tc>
        <w:tc>
          <w:tcPr>
            <w:tcW w:type="dxa" w:w="71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I04-E04｜0025（生產序列識別，不是實際班次代碼）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版次與品質身分</w:t>
            </w:r>
          </w:p>
        </w:tc>
        <w:tc>
          <w:tcPr>
            <w:tcW w:type="dxa" w:w="71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R4 current candidate｜DRAFT_SYNTHETIC｜QP002 / QE002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生效日期</w:t>
            </w:r>
          </w:p>
        </w:tc>
        <w:tc>
          <w:tcPr>
            <w:tcW w:type="dxa" w:w="71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未填；須由授權角色核准後登錄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文件負責角色／核准角色</w:t>
            </w:r>
          </w:p>
        </w:tc>
        <w:tc>
          <w:tcPr>
            <w:tcW w:type="dxa" w:w="71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未指定；須由協會正式授權資料確認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主控位置／公告紀錄</w:t>
            </w:r>
          </w:p>
        </w:tc>
        <w:tc>
          <w:tcPr>
            <w:tcW w:type="dxa" w:w="71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未指定；正式發布前須填入可驗證路徑與取用方式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修訂生效紀錄</w:t>
            </w:r>
          </w:p>
        </w:tc>
        <w:tc>
          <w:tcPr>
            <w:tcW w:type="dxa" w:w="71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R4 為本次候選修訂身分；不代表已核准或已公告</w:t>
            </w:r>
          </w:p>
        </w:tc>
      </w:tr>
    </w:tbl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用途與官方要求</w:t>
      </w:r>
    </w:p>
    <w:p>
      <w:pPr>
        <w:spacing w:after="80" w:line="269" w:lineRule="auto"/>
      </w:pPr>
      <w:r>
        <w:rPr>
          <w:rFonts w:ascii="Aptos" w:hAnsi="Aptos" w:eastAsia="Microsoft JhengHei"/>
          <w:b w:val="0"/>
          <w:i w:val="0"/>
          <w:color w:val="263746"/>
          <w:sz w:val="19"/>
        </w:rPr>
        <w:t>本程序規定：訓練需求如何成為受控的實施依據、誰負責核對與放行、如何記錄訓練結果、何時暫停，以及異常如何結案與留存。它的證據功能是讓讀者能沿著輸入、判斷、控制點和輸出追溯一項訓練安排；本文件本身不證明任何課程已舉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CEAF2"/>
          <w:left w:val="single" w:sz="0" w:space="0" w:color="DCEAF2"/>
          <w:bottom w:val="single" w:sz="0" w:space="0" w:color="DCEAF2"/>
          <w:right w:val="single" w:sz="0" w:space="0" w:color="DCEAF2"/>
          <w:insideH w:val="single" w:sz="0" w:space="0" w:color="DCEAF2"/>
          <w:insideV w:val="single" w:sz="0" w:space="0" w:color="DCEAF2"/>
        </w:tblBorders>
      </w:tblPr>
      <w:tblGrid>
        <w:gridCol w:w="10037"/>
      </w:tblGrid>
      <w:tr>
        <w:tc>
          <w:tcPr>
            <w:tcW w:type="dxa" w:w="10037"/>
            <w:shd w:fill="DCEAF2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JhengHei"/>
                <w:b/>
                <w:i w:val="0"/>
                <w:color w:val="17324D"/>
                <w:sz w:val="18"/>
              </w:rPr>
              <w:t xml:space="preserve">I04-E04 直接對應  </w:t>
            </w:r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官方查核佐證文件資料表（訓練機構版）第2頁，指標4列出「訓練結果的評估、訓練實施的依據及標準化作業流程（SOP）」作為參考佐證。本程序把這三項要求落到可核對的關卡與紀錄定位。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適用範圍與服務界線</w:t>
      </w:r>
    </w:p>
    <w:p>
      <w:pPr>
        <w:spacing w:after="80" w:line="269" w:lineRule="auto"/>
      </w:pPr>
      <w:r>
        <w:rPr>
          <w:rFonts w:ascii="Aptos" w:hAnsi="Aptos" w:eastAsia="Microsoft JhengHei"/>
          <w:b w:val="0"/>
          <w:i w:val="0"/>
          <w:color w:val="263746"/>
          <w:sz w:val="19"/>
        </w:rPr>
        <w:t>協會核心為健康教育及傳統整復推拿技術；任何課程主題、對象、資源及提供方式，均須先按實際需求、可用資源、適用法規與品質條件核對。程序適用於協會未來規劃、審查、核准、實施及檢視的訓練活動。</w:t>
      </w:r>
    </w:p>
    <w:p>
      <w:pPr>
        <w:pStyle w:val="ListBullet"/>
        <w:spacing w:after="40" w:line="252" w:lineRule="auto"/>
      </w:pPr>
      <w:r>
        <w:rPr>
          <w:rFonts w:ascii="Aptos" w:hAnsi="Aptos" w:eastAsia="Microsoft JhengHei"/>
          <w:b w:val="0"/>
          <w:i w:val="0"/>
          <w:color w:val="263746"/>
          <w:sz w:val="18"/>
        </w:rPr>
        <w:t>本程序是待核准的制度草案；不得把角色欄、日期欄、紀錄欄的空白視為已完成。</w:t>
      </w:r>
    </w:p>
    <w:p>
      <w:pPr>
        <w:pStyle w:val="ListBullet"/>
        <w:spacing w:after="40" w:line="252" w:lineRule="auto"/>
      </w:pPr>
      <w:r>
        <w:rPr>
          <w:rFonts w:ascii="Aptos" w:hAnsi="Aptos" w:eastAsia="Microsoft JhengHei"/>
          <w:b w:val="0"/>
          <w:i w:val="0"/>
          <w:color w:val="263746"/>
          <w:sz w:val="18"/>
        </w:rPr>
        <w:t>課程未通過範圍、資源、評估設計與授權發布關卡前，不得排定為已核准訓練或據此對外承諾。</w:t>
      </w:r>
    </w:p>
    <w:p>
      <w:pPr>
        <w:pStyle w:val="ListBullet"/>
        <w:spacing w:after="40" w:line="252" w:lineRule="auto"/>
      </w:pPr>
      <w:r>
        <w:rPr>
          <w:rFonts w:ascii="Aptos" w:hAnsi="Aptos" w:eastAsia="Microsoft JhengHei"/>
          <w:b w:val="0"/>
          <w:i w:val="0"/>
          <w:color w:val="263746"/>
          <w:sz w:val="18"/>
        </w:rPr>
        <w:t>學員、課程、師資、場地、實施結果、數據與外部證明均須來自可核實的實際紀錄；無原始紀錄時標示未取得，不推算、不補造。</w:t>
      </w:r>
    </w:p>
    <w:p>
      <w:pPr>
        <w:pStyle w:val="Heading2"/>
        <w:keepNext/>
      </w:pPr>
      <w:r>
        <w:rPr>
          <w:rFonts w:ascii="Aptos" w:hAnsi="Aptos" w:eastAsia="Microsoft JhengHei"/>
          <w:b/>
          <w:i w:val="0"/>
          <w:color w:val="177E89"/>
          <w:sz w:val="23"/>
        </w:rPr>
        <w:t>本程序的可證明範圍</w:t>
      </w:r>
    </w:p>
    <w:p>
      <w:pPr>
        <w:spacing w:after="40" w:line="269" w:lineRule="auto"/>
      </w:pPr>
      <w:r>
        <w:rPr>
          <w:rFonts w:ascii="Aptos" w:hAnsi="Aptos" w:eastAsia="Microsoft JhengHei"/>
          <w:b w:val="0"/>
          <w:i w:val="0"/>
          <w:color w:val="263746"/>
          <w:sz w:val="18"/>
        </w:rPr>
        <w:t>它定義未來採用時應有的控制步驟與資料欄位，不等同訓練管理系統已核准、已公告、已運作的證明。實際採行狀況須另以真實的核准、公告、訓練計畫、實施及評估紀錄核對。</w:t>
      </w:r>
    </w:p>
    <w:p>
      <w:pPr>
        <w:sectPr>
          <w:headerReference w:type="default" r:id="rId9"/>
          <w:footerReference w:type="default" r:id="rId10"/>
          <w:pgSz w:w="11909" w:h="16834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全程關卡與停止點</w:t>
      </w:r>
    </w:p>
    <w:p>
      <w:pPr>
        <w:spacing w:after="80" w:line="269" w:lineRule="auto"/>
      </w:pPr>
      <w:r>
        <w:rPr>
          <w:rFonts w:ascii="Aptos" w:hAnsi="Aptos" w:eastAsia="Microsoft JhengHei"/>
          <w:b w:val="0"/>
          <w:i w:val="0"/>
          <w:color w:val="263746"/>
          <w:sz w:val="19"/>
        </w:rPr>
        <w:t>流程按下圖執行。每個「否」分支都回到補件、修正或停止處理；承辦者不可跳過審查或把未簽核版本當作施訓依據。</w:t>
      </w:r>
    </w:p>
    <w:p>
      <w:r>
        <w:drawing>
          <wp:inline xmlns:a="http://schemas.openxmlformats.org/drawingml/2006/main" xmlns:pic="http://schemas.openxmlformats.org/drawingml/2006/picture">
            <wp:extent cx="5486400" cy="592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5_r4_so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 w:eastAsia="Microsoft JhengHei"/>
          <w:b/>
          <w:i w:val="0"/>
          <w:color w:val="5C6B73"/>
          <w:sz w:val="17"/>
        </w:rPr>
        <w:t>圖 1｜I04-E04 訓練實施與評估放行流程</w:t>
      </w:r>
    </w:p>
    <w:p>
      <w:pPr>
        <w:pStyle w:val="Heading2"/>
        <w:keepNext/>
      </w:pPr>
      <w:r>
        <w:rPr>
          <w:rFonts w:ascii="Aptos" w:hAnsi="Aptos" w:eastAsia="Microsoft JhengHei"/>
          <w:b/>
          <w:i w:val="0"/>
          <w:color w:val="177E89"/>
          <w:sz w:val="23"/>
        </w:rPr>
        <w:t>關卡判定基準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440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關卡</w:t>
            </w:r>
          </w:p>
        </w:tc>
        <w:tc>
          <w:tcPr>
            <w:tcW w:type="dxa" w:w="2664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進入判斷前要有</w:t>
            </w:r>
          </w:p>
        </w:tc>
        <w:tc>
          <w:tcPr>
            <w:tcW w:type="dxa" w:w="3672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可繼續的條件</w:t>
            </w:r>
          </w:p>
        </w:tc>
        <w:tc>
          <w:tcPr>
            <w:tcW w:type="dxa" w:w="2232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不符合時的處置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需求受理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需求來源、目的、對象需求、範圍與聯絡責任欄位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資訊可追溯；未明事項有具名角色負責補正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標記待補；停止設計排程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設計成熟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目標、方法、教材/設備/場地需求、評量方式及適用條件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目標與評量對應；資源與法規/品質條件均可核實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修正方案或撤回；不得發布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受控發布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審查意見、核准紀錄、版本、公告對象與主控位置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授權核准、版本一致、取用方式可追溯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留在草案；不得排課或實施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評估結案</w:t>
            </w:r>
          </w:p>
        </w:tc>
        <w:tc>
          <w:tcPr>
            <w:tcW w:type="dxa" w:w="266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實施紀錄、有效評量來源、異常及後續處置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分子分母/來源可核對；缺失已標示，未閉環項目有後續責任</w:t>
            </w:r>
          </w:p>
        </w:tc>
        <w:tc>
          <w:tcPr>
            <w:tcW w:type="dxa" w:w="22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不宣稱達成；保留未結案與補件責任</w:t>
            </w:r>
          </w:p>
        </w:tc>
      </w:tr>
    </w:tbl>
    <w:p>
      <w:pPr>
        <w:spacing w:after="0" w:line="269" w:lineRule="auto"/>
      </w:pPr>
      <w:r>
        <w:rPr>
          <w:rFonts w:ascii="Aptos" w:hAnsi="Aptos" w:eastAsia="Microsoft JhengHei"/>
          <w:b w:val="0"/>
          <w:i w:val="0"/>
          <w:color w:val="263746"/>
          <w:sz w:val="18"/>
        </w:rPr>
        <w:t>任一關卡未通過時，承辦角色記錄未通過原因、待補證據、責任角色與下一次檢視條件。未完成欄位使用「待補」或「未取得」，不自行填入推測值。</w:t>
      </w:r>
    </w:p>
    <w:p>
      <w:pPr>
        <w:sectPr>
          <w:pgSz w:w="11909" w:h="16834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操作流程卡</w:t>
      </w:r>
    </w:p>
    <w:p>
      <w:pPr>
        <w:spacing w:after="100" w:line="269" w:lineRule="auto"/>
      </w:pPr>
      <w:r>
        <w:rPr>
          <w:rFonts w:ascii="Aptos" w:hAnsi="Aptos" w:eastAsia="Microsoft JhengHei"/>
          <w:b w:val="0"/>
          <w:i w:val="0"/>
          <w:color w:val="263746"/>
          <w:sz w:val="18"/>
        </w:rPr>
        <w:t>下表是本程序的主要作業紀錄邏輯。角色以職能稱呼；正式使用前須由協會指定有權限的實際角色。每一列的輸出必須能回指原始資料或受控版本。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/>
          <w:cantSplit/>
        </w:trPr>
        <w:tc>
          <w:tcPr>
            <w:tcW w:type="dxa" w:w="979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步驟</w:t>
            </w:r>
          </w:p>
        </w:tc>
        <w:tc>
          <w:tcPr>
            <w:tcW w:type="dxa" w:w="1498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責任角色</w:t>
            </w:r>
          </w:p>
        </w:tc>
        <w:tc>
          <w:tcPr>
            <w:tcW w:type="dxa" w:w="165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輸入</w:t>
            </w:r>
          </w:p>
        </w:tc>
        <w:tc>
          <w:tcPr>
            <w:tcW w:type="dxa" w:w="309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作業動作</w:t>
            </w:r>
          </w:p>
        </w:tc>
        <w:tc>
          <w:tcPr>
            <w:tcW w:type="dxa" w:w="165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判斷</w:t>
            </w:r>
          </w:p>
        </w:tc>
        <w:tc>
          <w:tcPr>
            <w:tcW w:type="dxa" w:w="201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控制點</w:t>
            </w:r>
          </w:p>
        </w:tc>
        <w:tc>
          <w:tcPr>
            <w:tcW w:type="dxa" w:w="1627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輸出</w:t>
            </w:r>
          </w:p>
        </w:tc>
        <w:tc>
          <w:tcPr>
            <w:tcW w:type="dxa" w:w="2693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紀錄定位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受理需求</w:t>
            </w:r>
          </w:p>
        </w:tc>
        <w:tc>
          <w:tcPr>
            <w:tcW w:type="dxa" w:w="149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承辦角色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需求來源、目的、擬服務對象及已知限制</w:t>
            </w:r>
          </w:p>
        </w:tc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登錄原始需求、來源、收件日期欄位與缺件；保留來源檔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必要資訊可追溯？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缺漏即待補；未齊不得建立已核准排程</w:t>
            </w:r>
          </w:p>
        </w:tc>
        <w:tc>
          <w:tcPr>
            <w:tcW w:type="dxa" w:w="16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受理、補件或暫緩狀態</w:t>
            </w:r>
          </w:p>
        </w:tc>
        <w:tc>
          <w:tcPr>
            <w:tcW w:type="dxa" w:w="269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需求登錄紀錄與原始來源定位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核對範圍</w:t>
            </w:r>
          </w:p>
        </w:tc>
        <w:tc>
          <w:tcPr>
            <w:tcW w:type="dxa" w:w="149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規劃角色；適用時諮詢專業角色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可核實需求、協會核心方向、資源及法規/品質條件</w:t>
            </w:r>
          </w:p>
        </w:tc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判斷內容是否在能力與授權範圍；標出需外部確認的事項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範圍、能力、條件均能說明？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無法確認即停止；外部意見未取得不得當作已確認</w:t>
            </w:r>
          </w:p>
        </w:tc>
        <w:tc>
          <w:tcPr>
            <w:tcW w:type="dxa" w:w="16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可進入設計、退回或撤回</w:t>
            </w:r>
          </w:p>
        </w:tc>
        <w:tc>
          <w:tcPr>
            <w:tcW w:type="dxa" w:w="269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範圍判斷欄、來源/限制清單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建立實施依據</w:t>
            </w:r>
          </w:p>
        </w:tc>
        <w:tc>
          <w:tcPr>
            <w:tcW w:type="dxa" w:w="149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課程規劃角色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已確認的需求與範圍</w:t>
            </w:r>
          </w:p>
        </w:tc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寫明可觀察目標、內容順序、教學方式、教材/設備/場地需求、對象條件與風險控制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每項目標有適配方法與檢核方式？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無法連到目標的活動或資源不得列為必要課程內容</w:t>
            </w:r>
          </w:p>
        </w:tc>
        <w:tc>
          <w:tcPr>
            <w:tcW w:type="dxa" w:w="16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受控草案或修正要求</w:t>
            </w:r>
          </w:p>
        </w:tc>
        <w:tc>
          <w:tcPr>
            <w:tcW w:type="dxa" w:w="269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有版次的課程實施方案草案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設計結果評量</w:t>
            </w:r>
          </w:p>
        </w:tc>
        <w:tc>
          <w:tcPr>
            <w:tcW w:type="dxa" w:w="149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評估設計角色；授課角色提供內容意見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課程目標、評量對象及可取得資料</w:t>
            </w:r>
          </w:p>
        </w:tc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依目標選反應、學習或適用的後續追蹤方法；事先定義工具、評分/彙整方式、有效資料條件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評量能回答目標且來源可核？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只有滿意度不能推論能力提升；無有效資料不得下結果結論</w:t>
            </w:r>
          </w:p>
        </w:tc>
        <w:tc>
          <w:tcPr>
            <w:tcW w:type="dxa" w:w="16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評量設計確認或退修</w:t>
            </w:r>
          </w:p>
        </w:tc>
        <w:tc>
          <w:tcPr>
            <w:tcW w:type="dxa" w:w="269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評量工具、指標定義與資料來源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審查與核准</w:t>
            </w:r>
          </w:p>
        </w:tc>
        <w:tc>
          <w:tcPr>
            <w:tcW w:type="dxa" w:w="149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審查角色；授權核准角色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方案草案、評量設計、限制、修訂紀錄</w:t>
            </w:r>
          </w:p>
        </w:tc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審查一致性、適用性、可行性與紀錄完整性；將意見逐項處理後送核准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審查意見已處理且核准權限可驗？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人員/權限不明或核准未完成，維持草案</w:t>
            </w:r>
          </w:p>
        </w:tc>
        <w:tc>
          <w:tcPr>
            <w:tcW w:type="dxa" w:w="16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核准發布、修訂或不發布</w:t>
            </w:r>
          </w:p>
        </w:tc>
        <w:tc>
          <w:tcPr>
            <w:tcW w:type="dxa" w:w="269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審查意見處理表、授權核准與版本紀錄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實施與留痕</w:t>
            </w:r>
          </w:p>
        </w:tc>
        <w:tc>
          <w:tcPr>
            <w:tcW w:type="dxa" w:w="149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實施角色；現場負責職能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正式發布版、實際課程資料、已確認資源</w:t>
            </w:r>
          </w:p>
        </w:tc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核對使用版本；逐項記錄實際日期、班次、對象數、教材/場地、出席、評量及偏差；不補造缺失資料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現場條件符合受控方案？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安全/適用條件受影響即停止受影響活動並升級</w:t>
            </w:r>
          </w:p>
        </w:tc>
        <w:tc>
          <w:tcPr>
            <w:tcW w:type="dxa" w:w="16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如實完成、偏差待處或停止</w:t>
            </w:r>
          </w:p>
        </w:tc>
        <w:tc>
          <w:tcPr>
            <w:tcW w:type="dxa" w:w="269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逐次實施紀錄、出席與評量原始資料、偏差紀錄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評估與結案</w:t>
            </w:r>
          </w:p>
        </w:tc>
        <w:tc>
          <w:tcPr>
            <w:tcW w:type="dxa" w:w="149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評估角色；資料保管角色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有效的實施資料、評量工具、異常紀錄</w:t>
            </w:r>
          </w:p>
        </w:tc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核對資料品質、分子分母、缺失原因、結果限制；提出改善或結案建議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資料足以回答預先定義的目標？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資料不足即標示無法判定；不得把缺件算成達成</w:t>
            </w:r>
          </w:p>
        </w:tc>
        <w:tc>
          <w:tcPr>
            <w:tcW w:type="dxa" w:w="16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結案、補件或待改善</w:t>
            </w:r>
          </w:p>
        </w:tc>
        <w:tc>
          <w:tcPr>
            <w:tcW w:type="dxa" w:w="269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評估彙整、證據定位、結案/待辦紀錄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封存與改版</w:t>
            </w:r>
          </w:p>
        </w:tc>
        <w:tc>
          <w:tcPr>
            <w:tcW w:type="dxa" w:w="149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資料保管角色；授權核准角色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完整紀錄、核准版本及結案/待辦決定</w:t>
            </w:r>
          </w:p>
        </w:tc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按已核實的保存規則歸檔；變更時保留舊版並標示失效範圍與新版本關聯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檔案可讀、版本可辨、取用受控？</w:t>
            </w:r>
          </w:p>
        </w:tc>
        <w:tc>
          <w:tcPr>
            <w:tcW w:type="dxa" w:w="20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位置或權限不可核實時不得宣稱已完成保存</w:t>
            </w:r>
          </w:p>
        </w:tc>
        <w:tc>
          <w:tcPr>
            <w:tcW w:type="dxa" w:w="162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封存完成或待補控制</w:t>
            </w:r>
          </w:p>
        </w:tc>
        <w:tc>
          <w:tcPr>
            <w:tcW w:type="dxa" w:w="2693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受控主檔定位、存取/公告與修訂紀錄</w:t>
            </w:r>
          </w:p>
        </w:tc>
      </w:tr>
    </w:tbl>
    <w:p>
      <w:pPr>
        <w:spacing w:after="0" w:line="269" w:lineRule="auto"/>
      </w:pPr>
      <w:r>
        <w:rPr>
          <w:rFonts w:ascii="Aptos" w:hAnsi="Aptos" w:eastAsia="Microsoft JhengHei"/>
          <w:b w:val="0"/>
          <w:i w:val="0"/>
          <w:color w:val="263746"/>
          <w:sz w:val="17"/>
        </w:rPr>
        <w:t>放行原則：任何一關缺少明確輸入、責任角色、判定依據或可追溯輸出時，將狀態保留為待補/暫緩；不要用口頭共識代替留存紀錄。</w:t>
      </w:r>
    </w:p>
    <w:p>
      <w:pPr>
        <w:sectPr>
          <w:pgSz w:w="16834" w:h="11909" w:orient="landscape"/>
          <w:pgMar w:top="720" w:right="792" w:bottom="720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責任配置與授權界線</w:t>
      </w:r>
    </w:p>
    <w:p>
      <w:pPr>
        <w:spacing w:after="80" w:line="269" w:lineRule="auto"/>
      </w:pPr>
      <w:r>
        <w:rPr>
          <w:rFonts w:ascii="Aptos" w:hAnsi="Aptos" w:eastAsia="Microsoft JhengHei"/>
          <w:b w:val="0"/>
          <w:i w:val="0"/>
          <w:color w:val="263746"/>
          <w:sz w:val="18"/>
        </w:rPr>
        <w:t>下列是程序角色，不是現任職稱或具名人員。正式採用時，須核實委任依據和核准權限；同一人是否得兼任，需由協會依實際組織及利益衝突情況確認。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477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工作</w:t>
            </w:r>
          </w:p>
        </w:tc>
        <w:tc>
          <w:tcPr>
            <w:tcW w:type="dxa" w:w="1944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R｜執行</w:t>
            </w:r>
          </w:p>
        </w:tc>
        <w:tc>
          <w:tcPr>
            <w:tcW w:type="dxa" w:w="2045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A｜決定責任</w:t>
            </w:r>
          </w:p>
        </w:tc>
        <w:tc>
          <w:tcPr>
            <w:tcW w:type="dxa" w:w="1987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C｜諮詢</w:t>
            </w:r>
          </w:p>
        </w:tc>
        <w:tc>
          <w:tcPr>
            <w:tcW w:type="dxa" w:w="1555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I｜知會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需求受理與來源登錄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承辦角色</w:t>
            </w:r>
          </w:p>
        </w:tc>
        <w:tc>
          <w:tcPr>
            <w:tcW w:type="dxa" w:w="20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指定之流程負責角色</w:t>
            </w:r>
          </w:p>
        </w:tc>
        <w:tc>
          <w:tcPr>
            <w:tcW w:type="dxa" w:w="19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課程規劃角色</w:t>
            </w:r>
          </w:p>
        </w:tc>
        <w:tc>
          <w:tcPr>
            <w:tcW w:type="dxa" w:w="15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資料保管角色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範圍/條件核對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課程規劃角色</w:t>
            </w:r>
          </w:p>
        </w:tc>
        <w:tc>
          <w:tcPr>
            <w:tcW w:type="dxa" w:w="20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授權核准角色</w:t>
            </w:r>
          </w:p>
        </w:tc>
        <w:tc>
          <w:tcPr>
            <w:tcW w:type="dxa" w:w="19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承辦及適用之專業角色</w:t>
            </w:r>
          </w:p>
        </w:tc>
        <w:tc>
          <w:tcPr>
            <w:tcW w:type="dxa" w:w="15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資料保管角色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課程方案與評量設計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課程規劃 / 評估設計角色</w:t>
            </w:r>
          </w:p>
        </w:tc>
        <w:tc>
          <w:tcPr>
            <w:tcW w:type="dxa" w:w="20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授權核准角色</w:t>
            </w:r>
          </w:p>
        </w:tc>
        <w:tc>
          <w:tcPr>
            <w:tcW w:type="dxa" w:w="19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實施角色及需求代表（如適用）</w:t>
            </w:r>
          </w:p>
        </w:tc>
        <w:tc>
          <w:tcPr>
            <w:tcW w:type="dxa" w:w="15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承辦角色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審查、意見處理與版本核准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審查角色</w:t>
            </w:r>
          </w:p>
        </w:tc>
        <w:tc>
          <w:tcPr>
            <w:tcW w:type="dxa" w:w="20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授權核准角色</w:t>
            </w:r>
          </w:p>
        </w:tc>
        <w:tc>
          <w:tcPr>
            <w:tcW w:type="dxa" w:w="19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規劃角色</w:t>
            </w:r>
          </w:p>
        </w:tc>
        <w:tc>
          <w:tcPr>
            <w:tcW w:type="dxa" w:w="15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使用該程序之角色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實施與偏差通報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實施角色</w:t>
            </w:r>
          </w:p>
        </w:tc>
        <w:tc>
          <w:tcPr>
            <w:tcW w:type="dxa" w:w="20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授權核准角色</w:t>
            </w:r>
          </w:p>
        </w:tc>
        <w:tc>
          <w:tcPr>
            <w:tcW w:type="dxa" w:w="19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評估角色</w:t>
            </w:r>
          </w:p>
        </w:tc>
        <w:tc>
          <w:tcPr>
            <w:tcW w:type="dxa" w:w="15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資料保管角色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結果彙整與結案提案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評估角色</w:t>
            </w:r>
          </w:p>
        </w:tc>
        <w:tc>
          <w:tcPr>
            <w:tcW w:type="dxa" w:w="20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授權核准角色</w:t>
            </w:r>
          </w:p>
        </w:tc>
        <w:tc>
          <w:tcPr>
            <w:tcW w:type="dxa" w:w="19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實施角色</w:t>
            </w:r>
          </w:p>
        </w:tc>
        <w:tc>
          <w:tcPr>
            <w:tcW w:type="dxa" w:w="15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資料保管角色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封存、公告與修訂</w:t>
            </w:r>
          </w:p>
        </w:tc>
        <w:tc>
          <w:tcPr>
            <w:tcW w:type="dxa" w:w="194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資料保管角色</w:t>
            </w:r>
          </w:p>
        </w:tc>
        <w:tc>
          <w:tcPr>
            <w:tcW w:type="dxa" w:w="20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授權核准角色</w:t>
            </w:r>
          </w:p>
        </w:tc>
        <w:tc>
          <w:tcPr>
            <w:tcW w:type="dxa" w:w="198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承辦及使用角色</w:t>
            </w:r>
          </w:p>
        </w:tc>
        <w:tc>
          <w:tcPr>
            <w:tcW w:type="dxa" w:w="15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受影響之角色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2CC"/>
          <w:left w:val="single" w:sz="0" w:space="0" w:color="FFF2CC"/>
          <w:bottom w:val="single" w:sz="0" w:space="0" w:color="FFF2CC"/>
          <w:right w:val="single" w:sz="0" w:space="0" w:color="FFF2CC"/>
          <w:insideH w:val="single" w:sz="0" w:space="0" w:color="FFF2CC"/>
          <w:insideV w:val="single" w:sz="0" w:space="0" w:color="FFF2CC"/>
        </w:tblBorders>
      </w:tblPr>
      <w:tblGrid>
        <w:gridCol w:w="10037"/>
      </w:tblGrid>
      <w:tr>
        <w:tc>
          <w:tcPr>
            <w:tcW w:type="dxa" w:w="10037"/>
            <w:shd w:fill="FFF2CC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JhengHei"/>
                <w:b/>
                <w:i w:val="0"/>
                <w:color w:val="17324D"/>
                <w:sz w:val="18"/>
              </w:rPr>
              <w:t xml:space="preserve">權限控制  </w:t>
            </w:r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「授權核准角色」須依協會實際授權資料確認；本程序沒有填入人名、職稱、簽章或核准日期。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異常處理矩陣</w:t>
      </w:r>
    </w:p>
    <w:p>
      <w:pPr>
        <w:spacing w:after="80" w:line="269" w:lineRule="auto"/>
      </w:pPr>
      <w:r>
        <w:rPr>
          <w:rFonts w:ascii="Aptos" w:hAnsi="Aptos" w:eastAsia="Microsoft JhengHei"/>
          <w:b w:val="0"/>
          <w:i w:val="0"/>
          <w:color w:val="263746"/>
          <w:sz w:val="18"/>
        </w:rPr>
        <w:t>異常的第一責任是停止錯誤擴大並保存可核實事實。若涉及安全或適用條件，先停止受影響活動，再由有權角色決定是否恢復。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1757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情境</w:t>
            </w:r>
          </w:p>
        </w:tc>
        <w:tc>
          <w:tcPr>
            <w:tcW w:type="dxa" w:w="2448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即時處置</w:t>
            </w:r>
          </w:p>
        </w:tc>
        <w:tc>
          <w:tcPr>
            <w:tcW w:type="dxa" w:w="2304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升級路徑</w:t>
            </w:r>
          </w:p>
        </w:tc>
        <w:tc>
          <w:tcPr>
            <w:tcW w:type="dxa" w:w="1368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處理時點</w:t>
            </w:r>
          </w:p>
        </w:tc>
        <w:tc>
          <w:tcPr>
            <w:tcW w:type="dxa" w:w="2131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必留證據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需求或來源不完整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暫停進入下一關；標出缺少欄位與來源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承辦角色通知流程負責角色；補件後重新檢核</w:t>
            </w:r>
          </w:p>
        </w:tc>
        <w:tc>
          <w:tcPr>
            <w:tcW w:type="dxa" w:w="13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離開需求關卡前</w:t>
            </w:r>
          </w:p>
        </w:tc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缺件項、原始來源、退補及重檢紀錄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範圍、法規或能力條件不明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不發布、不對外承諾；保留待確認事項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升級授權核准角色；必要時取得可核實專業意見</w:t>
            </w:r>
          </w:p>
        </w:tc>
        <w:tc>
          <w:tcPr>
            <w:tcW w:type="dxa" w:w="13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進入方案核准前</w:t>
            </w:r>
          </w:p>
        </w:tc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待確認事項、諮詢來源、判定依據與決定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師資、教材、場地或設備未就緒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不放行該班次；若已開始且受影響則停止相關活動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實施角色回報；核准角色決定替代、改期或取消</w:t>
            </w:r>
          </w:p>
        </w:tc>
        <w:tc>
          <w:tcPr>
            <w:tcW w:type="dxa" w:w="13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發布前；現場風險則立即</w:t>
            </w:r>
          </w:p>
        </w:tc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核准版差異、可用性檢核、處置和通知定位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安全風險或重大偏差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先停止受影響部分，採取必要保護措施；不以教學目標為由延續風險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立即通知有權角色；評估是否須依其他正式事故程序處理</w:t>
            </w:r>
          </w:p>
        </w:tc>
        <w:tc>
          <w:tcPr>
            <w:tcW w:type="dxa" w:w="13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立即，且恢復前須有授權判斷</w:t>
            </w:r>
          </w:p>
        </w:tc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時間、事實、措施、影響範圍、決定與後續驗證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評量資料缺漏、矛盾或無效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隔離無效資料並標明缺失；不得填補推算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評估角色判斷能否用其餘有效資料回答目標；不足則標為無法判定</w:t>
            </w:r>
          </w:p>
        </w:tc>
        <w:tc>
          <w:tcPr>
            <w:tcW w:type="dxa" w:w="13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結論發布前</w:t>
            </w:r>
          </w:p>
        </w:tc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工具版本、有效樣本、分子/分母、缺漏原因、覆核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文件版本或保存位置失控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停止使用未確認版本；找回受控主檔或標記不可用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資料保管角色升級核准角色；確認受影響範圍後再發布</w:t>
            </w:r>
          </w:p>
        </w:tc>
        <w:tc>
          <w:tcPr>
            <w:tcW w:type="dxa" w:w="136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重新使用或對外提供前</w:t>
            </w:r>
          </w:p>
        </w:tc>
        <w:tc>
          <w:tcPr>
            <w:tcW w:type="dxa" w:w="213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版次、取回/替換紀錄、存取權限與公告證據</w:t>
            </w:r>
          </w:p>
        </w:tc>
      </w:tr>
    </w:tbl>
    <w:p>
      <w:pPr>
        <w:spacing w:after="0" w:line="269" w:lineRule="auto"/>
      </w:pPr>
      <w:r>
        <w:rPr>
          <w:rFonts w:ascii="Aptos" w:hAnsi="Aptos" w:eastAsia="Microsoft JhengHei"/>
          <w:b w:val="0"/>
          <w:i w:val="0"/>
          <w:color w:val="263746"/>
          <w:sz w:val="17"/>
        </w:rPr>
        <w:t>每件異常應保留事實、立即處置、原因判斷、後續修正/預防、責任角色、期限欄、有效性驗證及結案核准定位。若未有真實資料，欄位留空並標示待補，不得用示例內容結案。</w:t>
      </w:r>
    </w:p>
    <w:p>
      <w:pPr>
        <w:sectPr>
          <w:pgSz w:w="11909" w:h="16834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評估口徑與結案分析</w:t>
      </w:r>
    </w:p>
    <w:p>
      <w:pPr>
        <w:spacing w:after="80" w:line="269" w:lineRule="auto"/>
      </w:pPr>
      <w:r>
        <w:rPr>
          <w:rFonts w:ascii="Aptos" w:hAnsi="Aptos" w:eastAsia="Microsoft JhengHei"/>
          <w:b w:val="0"/>
          <w:i w:val="0"/>
          <w:color w:val="263746"/>
          <w:sz w:val="19"/>
        </w:rPr>
        <w:t>評量工具在課程發布前要先對應學習目標。彙整時把反應、學習與可能的後續應用分開解讀；資料種類不能互相代替。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29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評估面向</w:t>
            </w:r>
          </w:p>
        </w:tc>
        <w:tc>
          <w:tcPr>
            <w:tcW w:type="dxa" w:w="3240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事前設計的最小元素</w:t>
            </w:r>
          </w:p>
        </w:tc>
        <w:tc>
          <w:tcPr>
            <w:tcW w:type="dxa" w:w="3024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可下的結論</w:t>
            </w:r>
          </w:p>
        </w:tc>
        <w:tc>
          <w:tcPr>
            <w:tcW w:type="dxa" w:w="2448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不允許的推論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反應</w:t>
            </w:r>
          </w:p>
        </w:tc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問題/量表、對象、回收時點、彙整方式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描述參與者對內容、安排或教學的回饋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不得單靠滿意度宣稱學習或工作表現提升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學習</w:t>
            </w:r>
          </w:p>
        </w:tc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與目標一致的題目、實作任務或觀察規準；合格/缺漏定義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依有效作答、作品或觀察紀錄說明目標達成情形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不得以出席、口頭印象或空白紀錄替代評量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後續應用</w:t>
            </w:r>
          </w:p>
        </w:tc>
        <w:tc>
          <w:tcPr>
            <w:tcW w:type="dxa" w:w="324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經授權的追蹤問題、追蹤時點及資料來源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僅就取得且可核實的追蹤證據說明</w:t>
            </w:r>
          </w:p>
        </w:tc>
        <w:tc>
          <w:tcPr>
            <w:tcW w:type="dxa" w:w="24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沒有追蹤資料時不得宣稱技能已移轉或產生績效</w:t>
            </w:r>
          </w:p>
        </w:tc>
      </w:tr>
    </w:tbl>
    <w:p>
      <w:pPr>
        <w:pStyle w:val="Heading2"/>
        <w:keepNext/>
      </w:pPr>
      <w:r>
        <w:rPr>
          <w:rFonts w:ascii="Aptos" w:hAnsi="Aptos" w:eastAsia="Microsoft JhengHei"/>
          <w:b/>
          <w:i w:val="0"/>
          <w:color w:val="177E89"/>
          <w:sz w:val="23"/>
        </w:rPr>
        <w:t>兩項程序KPI的計算方式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728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指標</w:t>
            </w:r>
          </w:p>
        </w:tc>
        <w:tc>
          <w:tcPr>
            <w:tcW w:type="dxa" w:w="2304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公式</w:t>
            </w:r>
          </w:p>
        </w:tc>
        <w:tc>
          <w:tcPr>
            <w:tcW w:type="dxa" w:w="3672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資料來源與檢核</w:t>
            </w:r>
          </w:p>
        </w:tc>
        <w:tc>
          <w:tcPr>
            <w:tcW w:type="dxa" w:w="2304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解讀界線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流程準時率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期限內完成件數 ÷ 總件數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以受控流程紀錄的實際到期欄和完成欄核對；需列出分子、分母及期間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分母為零時記「不適用」；此指標只說明流程時效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異常結案率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已驗證結案件數 ÷ 異常件數</w:t>
            </w:r>
          </w:p>
        </w:tc>
        <w:tc>
          <w:tcPr>
            <w:tcW w:type="dxa" w:w="367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以異常登錄及有效性驗證紀錄交叉核對；逾期/未驗證不得算結案</w:t>
            </w:r>
          </w:p>
        </w:tc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無異常時記「不適用」；不得由結案率推論訓練學習成效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2CC"/>
          <w:left w:val="single" w:sz="0" w:space="0" w:color="FFF2CC"/>
          <w:bottom w:val="single" w:sz="0" w:space="0" w:color="FFF2CC"/>
          <w:right w:val="single" w:sz="0" w:space="0" w:color="FFF2CC"/>
          <w:insideH w:val="single" w:sz="0" w:space="0" w:color="FFF2CC"/>
          <w:insideV w:val="single" w:sz="0" w:space="0" w:color="FFF2CC"/>
        </w:tblBorders>
      </w:tblPr>
      <w:tblGrid>
        <w:gridCol w:w="10037"/>
      </w:tblGrid>
      <w:tr>
        <w:tc>
          <w:tcPr>
            <w:tcW w:type="dxa" w:w="10037"/>
            <w:shd w:fill="FFF2CC"/>
            <w:tcMar>
              <w:top w:w="125" w:type="dxa"/>
              <w:start w:w="145" w:type="dxa"/>
              <w:bottom w:w="125" w:type="dxa"/>
              <w:end w:w="145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Microsoft JhengHei"/>
                <w:b/>
                <w:i w:val="0"/>
                <w:color w:val="17324D"/>
                <w:sz w:val="18"/>
              </w:rPr>
              <w:t xml:space="preserve">計算防錯  </w:t>
            </w:r>
            <w:r>
              <w:rPr>
                <w:rFonts w:ascii="Aptos" w:hAnsi="Aptos" w:eastAsia="Microsoft JhengHei"/>
                <w:b w:val="0"/>
                <w:i w:val="0"/>
                <w:color w:val="263746"/>
                <w:sz w:val="18"/>
              </w:rPr>
              <w:t>只有在真實紀錄可回查時才計算實際比率。分母為零、資料缺漏或來源矛盾時，標示「不適用／無法判定」與原因，不補造分子、分母或百分比。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I04-E04 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/>
          <w:cantSplit/>
        </w:trPr>
        <w:tc>
          <w:tcPr>
            <w:tcW w:type="dxa" w:w="129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4"/>
              </w:rPr>
              <w:t>要求</w:t>
            </w:r>
          </w:p>
        </w:tc>
        <w:tc>
          <w:tcPr>
            <w:tcW w:type="dxa" w:w="1699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4"/>
              </w:rPr>
              <w:t>資料依據</w:t>
            </w:r>
          </w:p>
        </w:tc>
        <w:tc>
          <w:tcPr>
            <w:tcW w:type="dxa" w:w="165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4"/>
              </w:rPr>
              <w:t>程序控制段</w:t>
            </w:r>
          </w:p>
        </w:tc>
        <w:tc>
          <w:tcPr>
            <w:tcW w:type="dxa" w:w="1800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4"/>
              </w:rPr>
              <w:t>必要欄位/指標</w:t>
            </w:r>
          </w:p>
        </w:tc>
        <w:tc>
          <w:tcPr>
            <w:tcW w:type="dxa" w:w="1800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4"/>
              </w:rPr>
              <w:t>結果規則</w:t>
            </w:r>
          </w:p>
        </w:tc>
        <w:tc>
          <w:tcPr>
            <w:tcW w:type="dxa" w:w="1757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4"/>
              </w:rPr>
              <w:t>證據位置與覆核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訓練結果的評估</w:t>
            </w:r>
          </w:p>
        </w:tc>
        <w:tc>
          <w:tcPr>
            <w:tcW w:type="dxa" w:w="169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官方查核佐證文件資料表第2頁；評核表第1頁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評量設計、評估與結案分析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目標、工具版次、面向、有效資料數、來源、分子/分母（適用時）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只依有效原始資料判讀；缺漏標明，反應/學習/追蹤分開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評估紀錄的受控位置待填；覆核者核對工具、原始資料與彙整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訓練實施的依據</w:t>
            </w:r>
          </w:p>
        </w:tc>
        <w:tc>
          <w:tcPr>
            <w:tcW w:type="dxa" w:w="169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官方查核佐證文件資料表第2頁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關卡判定、操作流程卡及受控發布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核准版次、實際課程/班次欄、使用資源、實施日期、偏差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實施紀錄比對核准版；偏差另行留痕，不改寫原核准版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實施紀錄及核准版定位待填；覆核者核對版次和實際紀錄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標準化作業流程（SOP）</w:t>
            </w:r>
          </w:p>
        </w:tc>
        <w:tc>
          <w:tcPr>
            <w:tcW w:type="dxa" w:w="1699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官方查核佐證文件資料表第2頁；標準作業手冊附錄四十五</w:t>
            </w:r>
          </w:p>
        </w:tc>
        <w:tc>
          <w:tcPr>
            <w:tcW w:type="dxa" w:w="16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關卡、角色、異常、版本與保存控制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授權角色、生效日期、公告/主控位置、修訂關聯</w:t>
            </w:r>
          </w:p>
        </w:tc>
        <w:tc>
          <w:tcPr>
            <w:tcW w:type="dxa" w:w="18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未核准/未公告不得稱為生效；缺項維持待補</w:t>
            </w:r>
          </w:p>
        </w:tc>
        <w:tc>
          <w:tcPr>
            <w:tcW w:type="dxa" w:w="175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4"/>
              </w:rPr>
              <w:t>正式受控主檔、核准/公告及舊版追溯位置待填；核對版本一致性</w:t>
            </w:r>
          </w:p>
        </w:tc>
      </w:tr>
    </w:tbl>
    <w:p>
      <w:pPr>
        <w:spacing w:after="0" w:line="269" w:lineRule="auto"/>
      </w:pPr>
      <w:r>
        <w:rPr>
          <w:rFonts w:ascii="Aptos" w:hAnsi="Aptos" w:eastAsia="Microsoft JhengHei"/>
          <w:b w:val="0"/>
          <w:i w:val="0"/>
          <w:color w:val="263746"/>
          <w:sz w:val="17"/>
        </w:rPr>
        <w:t>本表所列「待填」是正式紀錄定位欄，不是已存在的附件或已完成活動。每次使用時由承辦角色建立真實資料鏈，再由覆核角色確認可回到原始來源。</w:t>
      </w:r>
    </w:p>
    <w:p>
      <w:pPr>
        <w:sectPr>
          <w:pgSz w:w="11909" w:h="16834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實施記錄的最低欄位</w:t>
      </w:r>
    </w:p>
    <w:p>
      <w:pPr>
        <w:spacing w:after="80" w:line="269" w:lineRule="auto"/>
      </w:pPr>
      <w:r>
        <w:rPr>
          <w:rFonts w:ascii="Aptos" w:hAnsi="Aptos" w:eastAsia="Microsoft JhengHei"/>
          <w:b w:val="0"/>
          <w:i w:val="0"/>
          <w:color w:val="263746"/>
          <w:sz w:val="19"/>
        </w:rPr>
        <w:t>每一項實際訓練應以可追溯的受控紀錄承接下列欄位。欄位先以空白模板建立；只有取得原始資料後才能填值。資料是否必要、保存期限與存取權限，須依適用規範和協會正式制度核實。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1728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資料區塊</w:t>
            </w:r>
          </w:p>
        </w:tc>
        <w:tc>
          <w:tcPr>
            <w:tcW w:type="dxa" w:w="4824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必備欄位</w:t>
            </w:r>
          </w:p>
        </w:tc>
        <w:tc>
          <w:tcPr>
            <w:tcW w:type="dxa" w:w="345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6"/>
              </w:rPr>
              <w:t>完整性核對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訓練識別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實際課程名稱、班次識別、實施日期/地點、核准方案版次、承辦/實施角色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與核准版、公告或原始簽到/場地紀錄一致；未知項標示未取得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實施依據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目標、內容/時程、教學方法、教材/設備/場地、師資資格或適用條件核實位置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比對實施版與核准版；變更應有核准或偏差記錄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參與與評量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實際參與人數、工具版次、有效作答/作品數、評量結果、缺漏及排除原因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保留分母定義、原始來源與彙整日期；不得反推缺失資料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異常與處置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事件事實、立即措施、升級對象角色、處理期限、原因、修正/預防、有效性覆核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事件記錄與結案判斷可相互追溯；未驗證不得標為已結案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結案與保存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結果限制、未結事項、責任角色、後續期限、文件位置、取用/保存依據</w:t>
            </w:r>
          </w:p>
        </w:tc>
        <w:tc>
          <w:tcPr>
            <w:tcW w:type="dxa" w:w="345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6"/>
              </w:rPr>
              <w:t>檔案打開可讀、權限與版次可驗；保存期間由正式規範確認</w:t>
            </w:r>
          </w:p>
        </w:tc>
      </w:tr>
    </w:tbl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版本、核准、公告與紀錄保存</w:t>
      </w:r>
    </w:p>
    <w:p>
      <w:pPr>
        <w:pStyle w:val="ListBullet"/>
        <w:spacing w:after="40" w:line="252" w:lineRule="auto"/>
      </w:pPr>
      <w:r>
        <w:rPr>
          <w:rFonts w:ascii="Aptos" w:hAnsi="Aptos" w:eastAsia="Microsoft JhengHei"/>
          <w:b w:val="0"/>
          <w:i w:val="0"/>
          <w:color w:val="263746"/>
          <w:sz w:val="17"/>
        </w:rPr>
        <w:t>核准：審查角色確認內容與實際運作相符後送授權核准角色。核准角色、日期、簽認方式須以正式授權資料核實；本候選文件沒有簽章或生效日。</w:t>
      </w:r>
    </w:p>
    <w:p>
      <w:pPr>
        <w:pStyle w:val="ListBullet"/>
        <w:spacing w:after="40" w:line="252" w:lineRule="auto"/>
      </w:pPr>
      <w:r>
        <w:rPr>
          <w:rFonts w:ascii="Aptos" w:hAnsi="Aptos" w:eastAsia="Microsoft JhengHei"/>
          <w:b w:val="0"/>
          <w:i w:val="0"/>
          <w:color w:val="263746"/>
          <w:sz w:val="17"/>
        </w:rPr>
        <w:t>公告：核准後由承辦/資料保管角色登錄適用對象、發布位置、取用權限及通知證據；未留存公告紀錄不稱為已公告。</w:t>
      </w:r>
    </w:p>
    <w:p>
      <w:pPr>
        <w:pStyle w:val="ListBullet"/>
        <w:spacing w:after="40" w:line="252" w:lineRule="auto"/>
      </w:pPr>
      <w:r>
        <w:rPr>
          <w:rFonts w:ascii="Aptos" w:hAnsi="Aptos" w:eastAsia="Microsoft JhengHei"/>
          <w:b w:val="0"/>
          <w:i w:val="0"/>
          <w:color w:val="263746"/>
          <w:sz w:val="17"/>
        </w:rPr>
        <w:t>更新：法規/服務範圍/資源條件改變、異常檢討或正式審查發現差距時提出修訂；審查和核准前沿用已核實的現行版，不得將草案替換為受控版本。</w:t>
      </w:r>
    </w:p>
    <w:p>
      <w:pPr>
        <w:pStyle w:val="ListBullet"/>
        <w:spacing w:after="40" w:line="252" w:lineRule="auto"/>
      </w:pPr>
      <w:r>
        <w:rPr>
          <w:rFonts w:ascii="Aptos" w:hAnsi="Aptos" w:eastAsia="Microsoft JhengHei"/>
          <w:b w:val="0"/>
          <w:i w:val="0"/>
          <w:color w:val="263746"/>
          <w:sz w:val="17"/>
        </w:rPr>
        <w:t>保存：主檔與使用紀錄按正式的保存及個資/權限要求歸檔；本文件不自行指定保存年限。位置、權限及期限都須先取得可核實的正式依據。</w:t>
      </w:r>
    </w:p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核准前真實升格檢核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2D9"/>
          <w:left w:val="single" w:sz="5" w:space="0" w:color="C6D2D9"/>
          <w:bottom w:val="single" w:sz="5" w:space="0" w:color="C6D2D9"/>
          <w:right w:val="single" w:sz="5" w:space="0" w:color="C6D2D9"/>
          <w:insideH w:val="single" w:sz="5" w:space="0" w:color="C6D2D9"/>
          <w:insideV w:val="single" w:sz="5" w:space="0" w:color="C6D2D9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096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需由真人資料補入並核對</w:t>
            </w:r>
          </w:p>
        </w:tc>
        <w:tc>
          <w:tcPr>
            <w:tcW w:type="dxa" w:w="4824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核對方式</w:t>
            </w:r>
          </w:p>
        </w:tc>
        <w:tc>
          <w:tcPr>
            <w:tcW w:type="dxa" w:w="2088"/>
            <w:shd w:fill="17324D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i w:val="0"/>
                <w:color w:val="FFFFFF"/>
                <w:sz w:val="15"/>
              </w:rPr>
              <w:t>完成前狀態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正式責任角色、姓名與授權依據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查驗現行組織/授權文件；確認審查與核准權限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未確認：不簽核、不發布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生效日期、核准與公告證據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留存原始核准紀錄、發布位置及通知/取用記錄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缺一：本版仍為候選草案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真實班次、課程、參與及評量數據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以課程原始文件/評量工具/有效樣本重算並交叉覆核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未取得：不得寫成結果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實際附件及保存位置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開啟原件、核對版本與讀取權限，登錄正式位置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未驗證：標示未取得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保存期限、存取及修訂制度</w:t>
            </w:r>
          </w:p>
        </w:tc>
        <w:tc>
          <w:tcPr>
            <w:tcW w:type="dxa" w:w="48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引用經核實的適用規範/內規並記錄來源</w:t>
            </w:r>
          </w:p>
        </w:tc>
        <w:tc>
          <w:tcPr>
            <w:tcW w:type="dxa" w:w="208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i w:val="0"/>
                <w:color w:val="263746"/>
                <w:sz w:val="15"/>
              </w:rPr>
              <w:t>未核實：不自行設定期限</w:t>
            </w:r>
          </w:p>
        </w:tc>
      </w:tr>
    </w:tbl>
    <w:p>
      <w:pPr>
        <w:pStyle w:val="Heading1"/>
        <w:keepNext/>
      </w:pPr>
      <w:r>
        <w:rPr>
          <w:rFonts w:ascii="Aptos" w:hAnsi="Aptos" w:eastAsia="Microsoft JhengHei"/>
          <w:b/>
          <w:i w:val="0"/>
          <w:color w:val="17324D"/>
          <w:sz w:val="30"/>
        </w:rPr>
        <w:t>正式來源與文件依據</w:t>
      </w:r>
    </w:p>
    <w:p>
      <w:pPr>
        <w:spacing w:after="60" w:line="269" w:lineRule="auto"/>
      </w:pPr>
      <w:r>
        <w:rPr>
          <w:rFonts w:ascii="Aptos" w:hAnsi="Aptos" w:eastAsia="Microsoft JhengHei"/>
          <w:b w:val="0"/>
          <w:i w:val="0"/>
          <w:color w:val="263746"/>
          <w:sz w:val="17"/>
        </w:rPr>
        <w:t>官方查核佐證文件資料表（訓練機構版），第2頁，指標4；官方 TTQS 人才發展品質管理系統評核表（訓練機構版），第1頁指標4、第6頁評分標準；官方標準作業手冊，PDF第107頁（附錄四十五，印刷頁101）。I04-E04在來源更正表無個別文字或頁碼修正。</w:t>
      </w:r>
    </w:p>
    <w:p>
      <w:pPr>
        <w:spacing w:after="0" w:line="269" w:lineRule="auto"/>
      </w:pPr>
      <w:r>
        <w:rPr>
          <w:rFonts w:ascii="Aptos" w:hAnsi="Aptos" w:eastAsia="Microsoft JhengHei"/>
          <w:b/>
          <w:i w:val="0"/>
          <w:color w:val="263746"/>
          <w:sz w:val="17"/>
        </w:rPr>
        <w:t>文件控制身分：</w:t>
      </w:r>
      <w:r>
        <w:rPr>
          <w:rFonts w:ascii="Aptos" w:hAnsi="Aptos" w:eastAsia="Microsoft JhengHei"/>
          <w:b w:val="0"/>
          <w:i w:val="0"/>
          <w:color w:val="263746"/>
          <w:sz w:val="17"/>
        </w:rPr>
        <w:t>R4 CURRENT CANDIDATE｜DRAFT_SYNTHETIC｜QP002 / QE002。核准、公告、生效、實施與評估狀態尚須以正式原始紀錄核實；本稿不宣告任何品質閘門通過。</w:t>
      </w:r>
    </w:p>
    <w:sectPr w:rsidR="00FC693F" w:rsidRPr="0006063C" w:rsidSect="00034616">
      <w:pgSz w:w="11909" w:h="16834"/>
      <w:pgMar w:top="936" w:right="936" w:bottom="936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JhengHei"/>
        <w:b w:val="0"/>
        <w:i w:val="0"/>
        <w:color w:val="5C6B73"/>
        <w:sz w:val="16"/>
      </w:rPr>
      <w:t xml:space="preserve">I04-E04  •  0025  •  R4 CURRENT CANDIDATE    |    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JhengHei"/>
        <w:b w:val="0"/>
        <w:i w:val="0"/>
        <w:color w:val="5C6B73"/>
        <w:sz w:val="16"/>
      </w:rPr>
      <w:t>社團法人屏東縣原始點關懷協會  |  R4 CURRENT CANDIDATE  |  QP002 / QE002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Aptos" w:hAnsi="Aptos" w:eastAsia="Microsoft JhengHei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7E8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訓練評估與實施標準作業程序</dc:title>
  <dc:subject>I04-E04 R4 current candidate</dc:subject>
  <dc:creator>python-docx</dc:creator>
  <cp:keywords>R4, CURRENT CANDIDATE, QP002, QE002, DRAFT_SYNTHETIC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